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A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《信阳市粮食应急预案》的</w:t>
      </w:r>
    </w:p>
    <w:p w14:paraId="09D1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起草说明</w:t>
      </w:r>
    </w:p>
    <w:p w14:paraId="39A4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F9C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一、起草背景</w:t>
      </w:r>
    </w:p>
    <w:p w14:paraId="34B7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为贯彻落实国家粮食安全战略，加强粮食安全风险防范，提升应急保障能力，有效应对各类突发公共事件、自然灾害保障粮食市场供应和价格基本稳定，2024年河南省政府重新制定《河南省粮食应急预案》。</w:t>
      </w:r>
    </w:p>
    <w:p w14:paraId="41F6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根据新版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《河南省粮食应急预案》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为进一步指导和规范我市粮食应急处置工作，提升粮食安全领域风险防范能力和应急保障能力，需对应急响应分级标准、部门职责分工等内容进行调整，确保省市预案体系无缝衔接，有效监测和控制市内粮食市场异常波动，保证粮食市场平稳供应，保持粮食市场价格基本稳定，维护正常的社会秩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结合信阳实际，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《信阳市粮食应急预案（征求意见稿）》。</w:t>
      </w:r>
    </w:p>
    <w:p w14:paraId="47A34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二、制定过程</w:t>
      </w:r>
    </w:p>
    <w:p w14:paraId="66F1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为提高《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信阳市粮食应急预案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》科学性、可行性、可操作性，严格履行法定程序，在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信阳市粮食和物资储备局官方网站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向社会公开征求意见，并同步征求相关市直部门和有关单位意见。对反馈意见进行研究讨论、整理后，将按程序进行合法性审查，并报经市政府办公室审核，呈报市政府常务会议审议。</w:t>
      </w:r>
    </w:p>
    <w:p w14:paraId="4B6B5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 w14:paraId="3E6A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信阳市粮食应急预案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》主要内容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总则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监测预警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应急响应与处置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恢复和重建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等七部分。</w:t>
      </w:r>
    </w:p>
    <w:p w14:paraId="703DF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总则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主要按照危害程度、造成损失、影响范围等因素，将粮食应急状态从高至低分为特别重大（Ⅰ级）、重大（Ⅱ级）、较大（Ⅲ级）、一般(Ⅳ级)四个等级。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是根据区域内出现的应急状态成立市、县粮食应急工作指挥部开展工作研判、核实，并按照本级粮食应急预案规定做出应急响应。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监测预警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市、县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对辖区内粮食生产、需求、库存、价格及粮食市场的动态监测、分析与预警，并按照市有关部门要求及时报送市场监测情况，发布相关信息。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应急响应与处置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。规定市县开展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应急响应程序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应急响应条件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以及省市县各级粮食应急响应后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应急终止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应急保障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，规定市县粮食应急保障政府储备规模，应急供应网络开展模式。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恢复和重建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。粮食应急状态下对粮食的需求和动用，开展应急状态后及时采取促进粮食生产、增加粮食收购或适当进口等措施，补充各级粮食储备及商业库存，及时恢复应急能力。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其他相关事项。</w:t>
      </w:r>
    </w:p>
    <w:p w14:paraId="149C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E3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1E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DBF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49DFD4-A41C-4DF2-9C21-B8E6C6007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C4542DD-D6DA-48CD-9C7A-D8610CBF0F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2356A3C-C90A-46DC-949F-5DBF1E1D6A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A1A825C-8734-4139-A138-F511B7546BA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5319A85-9650-4B28-8314-CFEC2CF8805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64D14"/>
    <w:rsid w:val="17C37D31"/>
    <w:rsid w:val="1A8E4A9F"/>
    <w:rsid w:val="1C564D14"/>
    <w:rsid w:val="58FD6458"/>
    <w:rsid w:val="5BFA2530"/>
    <w:rsid w:val="675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898</Characters>
  <Lines>0</Lines>
  <Paragraphs>0</Paragraphs>
  <TotalTime>1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2026-01-09T02:00:00Z</dcterms:created>
  <dc:creator>Yang</dc:creator>
  <cp:lastModifiedBy>Yang</cp:lastModifiedBy>
  <dcterms:modified xsi:type="dcterms:W3CDTF">2026-01-09T03:10:35Z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687860FD51C540A6BDC4DD16B28DC6E3_11</vt:lpwstr>
  </property>
  <property fmtid="{D5CDD505-2E9C-101B-9397-08002B2CF9AE}" pid="4" name="KSOTemplateDocerSaveRecord">
    <vt:lpwstr>eyJoZGlkIjoiZmM4YWNkNWNiZTAwYWRjZTQ1MDcxMTRlZTA3ZjQ0YWQiLCJ1c2VySWQiOiIyMzIzMTQ5NzQifQ==</vt:lpwstr>
  </property>
</Properties>
</file>