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4F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14:ligatures w14:val="none"/>
        </w:rPr>
        <w:t>息县2026年小麦“一喷三防”实施方案</w:t>
      </w:r>
    </w:p>
    <w:p w14:paraId="0BAB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  <w14:ligatures w14:val="none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14:ligatures w14:val="none"/>
        </w:rPr>
        <w:t>征求意见稿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  <w14:ligatures w14:val="none"/>
        </w:rPr>
        <w:t>）</w:t>
      </w:r>
    </w:p>
    <w:p w14:paraId="64BD5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</w:p>
    <w:p w14:paraId="4B342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为保障夏粮稳产增产，充分调动和保护小麦种植者种粮积极性，切实提高农业防灾减灾能力，大力推广应用小麦“一喷三防”关键技术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根据《河南省财政厅 河南省农业农村厅 河南省供销合作总社关于提前下达2026年中央财政农业相关转移支付资金预算的通知》（豫财农水〔2025〕98号）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精神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，结合我县实际，特制定本实施方案。</w:t>
      </w:r>
    </w:p>
    <w:p w14:paraId="5567A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14:ligatures w14:val="none"/>
        </w:rPr>
        <w:t>一、项目实施内容和方式</w:t>
      </w:r>
    </w:p>
    <w:p w14:paraId="5C86F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2026年中央财政粮油生产保障资金（小麦“一喷三防”支出）主要用于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支持在我县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小麦生长期科学混配使用的杀虫剂、杀菌剂、植物生长调节剂</w:t>
      </w:r>
      <w:r>
        <w:rPr>
          <w:rFonts w:eastAsia="仿宋_GB2312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，达到防病虫害、防干热风、防倒伏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、防早衰的目的，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确保小麦高产稳产。</w:t>
      </w:r>
    </w:p>
    <w:p w14:paraId="4EDD3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补助资金以物化补助为主，由县农业农村局统一组织实施，采取政府招投标方式采购防控物资，并及时分配下发给各实施乡镇，由乡镇负责分发到开展小麦“一喷三防”的农户、新型农业经营主体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确保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“一喷三防”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补助政策落实到户到田。</w:t>
      </w:r>
    </w:p>
    <w:p w14:paraId="3D9C4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14:ligatures w14:val="none"/>
        </w:rPr>
        <w:t>二、实施区域</w:t>
      </w:r>
    </w:p>
    <w:p w14:paraId="1E8C9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根据小麦条锈病、赤霉病、蚜虫等重大病虫害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在我县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常年发生发展趋势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，以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小麦种植主产区分布和50万亩全国绿色食品原料（小麦、水稻、红薯）标准化生产基地建设等综合因素，经专家综合会商研判，局党组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研究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决定在小麦主产区的岗李店乡、包信镇、东岳镇、白土店乡、彭店乡、路口乡、项店镇等乡镇实施2026年小麦“一喷三防”，预计实施面积50万亩（最终以实际招标面积为准）。</w:t>
      </w:r>
    </w:p>
    <w:p w14:paraId="15744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14:ligatures w14:val="none"/>
        </w:rPr>
        <w:t>三、支持对象</w:t>
      </w:r>
    </w:p>
    <w:p w14:paraId="1114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项目资金用于补助开展小麦“一喷三防”的农户、新型农业经营主体。</w:t>
      </w:r>
    </w:p>
    <w:p w14:paraId="2A6CD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14:ligatures w14:val="none"/>
        </w:rPr>
        <w:t>四、资金用途</w:t>
      </w:r>
    </w:p>
    <w:p w14:paraId="7FC98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提前下达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我县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2026年中央财政农业相关转移支付资金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小麦“一喷三防”支出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491万元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项目资金直接用于采购小麦“一喷三防”所需杀虫剂、杀菌剂、植物生长调节剂等物资。为确保项目实施效果，采购所需物资费用按每亩10元左右预算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最终以实际招标价格为准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。</w:t>
      </w:r>
    </w:p>
    <w:p w14:paraId="4F223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14:ligatures w14:val="none"/>
        </w:rPr>
        <w:t>五、工作措施</w:t>
      </w:r>
    </w:p>
    <w:p w14:paraId="43BC1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（一）加强组织领导。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各相关部门要坚决扛牢粮食安全政治责任，切实增强维护粮食安全的责任感、紧迫感，各实施乡镇要明确分工，责任到人，层层压实责任，扎实推进政策措施落实落地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县农业农村局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成立工作领导小组，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负责总体防控协调、工作调度、技术指导等，确保工作有效有序开展。</w:t>
      </w:r>
    </w:p>
    <w:p w14:paraId="43717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  <w14:ligatures w14:val="none"/>
        </w:rPr>
        <w:t>二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）依法招标采购。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项目所需物资的采购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坚持高效便民、不误农时的原则，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采取政府招投标方式采购，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严格落实项目招投标有关规定，力争在2026年3月底前完成项目招投标工作，4月5日前完成项目采购物资的分配与发放工作。</w:t>
      </w:r>
    </w:p>
    <w:p w14:paraId="0ED4F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  <w14:ligatures w14:val="none"/>
        </w:rPr>
        <w:t>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）抢抓农时喷防。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按照“立足预防、主动出击”的防控策略，结合我县小麦生育进程和病虫害发生规律，在小麦“一喷三防”最佳窗口期（小麦齐穗至扬花初期）组织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种植户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实施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小麦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“一喷三防”作业。施药后24小时内如遇雨，雨后须立即补防。</w:t>
      </w:r>
    </w:p>
    <w:p w14:paraId="42944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  <w14:ligatures w14:val="none"/>
        </w:rPr>
        <w:t>四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）加强监测预警。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强化系统监测，全面掌控病情虫情，密切关注天气变化，及时会商分析、科学研判小麦重大病虫害发生发展趋势，准确发布预报预警信息，为小麦“一喷三防”工作提供强有力的技术支撑。</w:t>
      </w:r>
    </w:p>
    <w:p w14:paraId="1D159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  <w14:ligatures w14:val="none"/>
        </w:rPr>
        <w:t>五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）加强科学用药。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适时召开专家会商研判会，因地制宜制定小麦“一喷三防”技术规程。通过明白纸、标语条幅、短视频、微信群等多种形式广泛宣传，调动广大农民群众实施小麦“一喷三防”的积极性和主动性。组派技术人员深入乡村、走进田间地头，面对面、手把手对种植户进行培训指导，优化技术服务，确保小麦“一喷三防”关键技术措施全覆盖、落实落地。</w:t>
      </w:r>
    </w:p>
    <w:p w14:paraId="0A361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项目所需农药采购，严格按照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《中华人民共和国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农业行业标准NY/T393-2020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》执行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，选用适合的绿色高效农药种类、足够的有效剂量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绿色环保剂型。推荐使用戊唑醇、肟菌酯、吡唑醚菌酯、氟环唑、高效氯氰菊酯、吡虫啉、噻虫嗪、啶虫脒、芸苔素内酯等单剂及其复配制剂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，以及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悬浮剂、微乳剂、超低容量液剂、水剂等绿色环保剂型。确保小麦“一喷三防”工作取得显著的社会效益、生态效益和经济效益。</w:t>
      </w:r>
    </w:p>
    <w:p w14:paraId="031D9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  <w14:ligatures w14:val="none"/>
        </w:rPr>
        <w:t>六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）严格项目验收。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喷施结束后，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县农业农村局将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邀请上级农业农村部门组织农科教专家进行实地验收。验收严格对照绩效目标、实施面积、危害损失等控制指标，结合作业质量、资金使用等情况，通过实地调查、资料核查、农户访谈等方式科学评估防控成效。</w:t>
      </w:r>
    </w:p>
    <w:p w14:paraId="25A52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3" w:firstLineChars="200"/>
        <w:contextualSpacing/>
        <w:jc w:val="both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  <w14:ligatures w14:val="none"/>
        </w:rPr>
        <w:t>七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）搞好项目总结。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项目结束后，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县农业农村局将对项目</w:t>
      </w:r>
      <w:r>
        <w:rPr>
          <w:rFonts w:eastAsia="仿宋_GB2312"/>
          <w:kern w:val="0"/>
          <w:sz w:val="32"/>
          <w:szCs w:val="32"/>
        </w:rPr>
        <w:t>资金执行、绩效评价、做法经验、存在问题及下一步对策建议等情况进行汇总，形成</w:t>
      </w:r>
      <w:r>
        <w:rPr>
          <w:rFonts w:hint="eastAsia" w:eastAsia="仿宋_GB2312"/>
          <w:kern w:val="0"/>
          <w:sz w:val="32"/>
          <w:szCs w:val="32"/>
        </w:rPr>
        <w:t>“一喷三防”</w:t>
      </w:r>
      <w:r>
        <w:rPr>
          <w:rFonts w:eastAsia="仿宋_GB2312"/>
          <w:kern w:val="0"/>
          <w:sz w:val="32"/>
          <w:szCs w:val="32"/>
        </w:rPr>
        <w:t>年度总结材料。</w:t>
      </w:r>
    </w:p>
    <w:p w14:paraId="3F0E3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 w14:paraId="3FF47BB6">
      <w:pPr>
        <w:pStyle w:val="2"/>
        <w:rPr>
          <w:rFonts w:hint="eastAsia"/>
        </w:rPr>
      </w:pPr>
    </w:p>
    <w:p w14:paraId="5DB057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after="0" w:line="58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154" w:right="1531" w:bottom="1814" w:left="1531" w:header="851" w:footer="992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151C9">
    <w:pPr>
      <w:pStyle w:val="12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679BA">
                          <w:pPr>
                            <w:pStyle w:val="12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C679BA">
                    <w:pPr>
                      <w:pStyle w:val="12"/>
                      <w:jc w:val="center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DBB5621">
    <w:pPr>
      <w:pStyle w:val="1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3730D">
    <w:pPr>
      <w:pStyle w:val="12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AFDB4">
                          <w:pPr>
                            <w:pStyle w:val="12"/>
                            <w:rPr>
                              <w:rStyle w:val="18"/>
                              <w:rFonts w:hint="eastAsia" w:ascii="方正仿宋简体" w:eastAsia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8"/>
                              <w:rFonts w:hint="eastAsia" w:ascii="方正仿宋简体" w:eastAsia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eastAsia" w:ascii="方正仿宋简体" w:eastAsia="方正仿宋简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8"/>
                              <w:rFonts w:hint="eastAsia" w:ascii="方正仿宋简体" w:eastAsia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方正仿宋简体" w:eastAsia="方正仿宋简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8"/>
                              <w:rFonts w:hint="eastAsia" w:ascii="方正仿宋简体" w:eastAsia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073AC93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pETon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CAFDB4">
                    <w:pPr>
                      <w:pStyle w:val="12"/>
                      <w:rPr>
                        <w:rStyle w:val="18"/>
                        <w:rFonts w:hint="eastAsia" w:ascii="方正仿宋简体" w:eastAsia="方正仿宋简体"/>
                        <w:sz w:val="28"/>
                        <w:szCs w:val="28"/>
                      </w:rPr>
                    </w:pPr>
                    <w:r>
                      <w:rPr>
                        <w:rStyle w:val="18"/>
                        <w:rFonts w:hint="eastAsia" w:ascii="方正仿宋简体" w:eastAsia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hint="eastAsia" w:ascii="方正仿宋简体" w:eastAsia="方正仿宋简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8"/>
                        <w:rFonts w:hint="eastAsia" w:ascii="方正仿宋简体" w:eastAsia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方正仿宋简体" w:eastAsia="方正仿宋简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8"/>
                        <w:rFonts w:hint="eastAsia" w:ascii="方正仿宋简体" w:eastAsia="方正仿宋简体"/>
                        <w:sz w:val="28"/>
                        <w:szCs w:val="28"/>
                      </w:rPr>
                      <w:fldChar w:fldCharType="end"/>
                    </w:r>
                  </w:p>
                  <w:p w14:paraId="1073AC93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CB"/>
    <w:rsid w:val="00571776"/>
    <w:rsid w:val="006815CC"/>
    <w:rsid w:val="007828F8"/>
    <w:rsid w:val="007C2AF7"/>
    <w:rsid w:val="0087580F"/>
    <w:rsid w:val="009A4972"/>
    <w:rsid w:val="00A02F03"/>
    <w:rsid w:val="00A07EA9"/>
    <w:rsid w:val="00A21D1D"/>
    <w:rsid w:val="00B22621"/>
    <w:rsid w:val="00B526F8"/>
    <w:rsid w:val="00DA0894"/>
    <w:rsid w:val="00E800CB"/>
    <w:rsid w:val="00F2683D"/>
    <w:rsid w:val="03A33962"/>
    <w:rsid w:val="03AA4039"/>
    <w:rsid w:val="068E6EF2"/>
    <w:rsid w:val="18CE48A3"/>
    <w:rsid w:val="1CA17981"/>
    <w:rsid w:val="1E77039E"/>
    <w:rsid w:val="25085E72"/>
    <w:rsid w:val="256649EA"/>
    <w:rsid w:val="2714621D"/>
    <w:rsid w:val="27FD4CE8"/>
    <w:rsid w:val="295E5B46"/>
    <w:rsid w:val="2BD85A0F"/>
    <w:rsid w:val="36452806"/>
    <w:rsid w:val="377B7D18"/>
    <w:rsid w:val="3D25335F"/>
    <w:rsid w:val="45F12DF0"/>
    <w:rsid w:val="47396DF6"/>
    <w:rsid w:val="4D2E2526"/>
    <w:rsid w:val="60942E6D"/>
    <w:rsid w:val="61131A15"/>
    <w:rsid w:val="61A67C66"/>
    <w:rsid w:val="6FF06A76"/>
    <w:rsid w:val="719A742B"/>
    <w:rsid w:val="74FF4759"/>
    <w:rsid w:val="787F02DF"/>
    <w:rsid w:val="7B2D6C87"/>
    <w:rsid w:val="7D93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正文"/>
    <w:basedOn w:val="1"/>
    <w:qFormat/>
    <w:uiPriority w:val="0"/>
    <w:pPr>
      <w:ind w:firstLine="200" w:firstLineChars="2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qFormat/>
    <w:uiPriority w:val="99"/>
  </w:style>
  <w:style w:type="character" w:customStyle="1" w:styleId="19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3ac92848-5474-44fe-b3f3-20fcd4dd5495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1E8C947B</paraID>
      <start>31</start>
      <end>33</end>
      <status>modified</status>
      <modifiedWord>，以</modifiedWord>
      <trackRevisions>false</trackRevisions>
    </reviewItem>
    <reviewItem>
      <errorID>1993775b-b16b-4e34-9ffe-2b8c64dcb65a</errorID>
      <errorWord>及结合</errorWord>
      <group>L1_AI</group>
      <groupName>深度校对</groupName>
      <ability>L2_AI_Word</ability>
      <abilityName>字词纠错</abilityName>
      <candidateList>
        <item>结合</item>
      </candidateList>
      <explain/>
      <paraID>1E8C947B</paraID>
      <start>33</start>
      <end>36</end>
      <status>ignored</status>
      <modifiedWord/>
      <trackRevisions>false</trackRevisions>
    </reviewItem>
    <reviewItem>
      <errorID>c075aeb6-dcff-4f9f-aa67-ed59e0747ca3</errorID>
      <errorWord>中华人民共和国</errorWord>
      <group>L1_AI</group>
      <groupName>深度校对</groupName>
      <ability>L2_AI_Punc</ability>
      <abilityName>标点纠错</abilityName>
      <candidateList>
        <item>《中华人民共和国</item>
      </candidateList>
      <explain/>
      <paraID> A3610F2</paraID>
      <start>21</start>
      <end>29</end>
      <status>modified</status>
      <modifiedWord>《中华人民共和国</modifiedWord>
      <trackRevisions>false</trackRevisions>
    </reviewItem>
    <reviewItem>
      <errorID>dd52b419-6f43-4dff-9695-6a05fea75b97</errorID>
      <errorWord>执行</errorWord>
      <group>L1_AI</group>
      <groupName>深度校对</groupName>
      <ability>L2_AI_Punc</ability>
      <abilityName>标点纠错</abilityName>
      <candidateList>
        <item>》执行</item>
      </candidateList>
      <explain/>
      <paraID> A3610F2</paraID>
      <start>47</start>
      <end>50</end>
      <status>modified</status>
      <modifiedWord>》执行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d01831-f7a1-42eb-8a63-39e7103285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1708</Words>
  <Characters>1750</Characters>
  <Lines>14</Lines>
  <Paragraphs>4</Paragraphs>
  <TotalTime>8</TotalTime>
  <ScaleCrop>false</ScaleCrop>
  <LinksUpToDate>false</LinksUpToDate>
  <CharactersWithSpaces>1761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2026-01-01T07:41:00Z</dcterms:created>
  <dc:creator>廷成 王</dc:creator>
  <cp:lastModifiedBy>王加明</cp:lastModifiedBy>
  <cp:lastPrinted>2026-01-04T03:11:00Z</cp:lastPrinted>
  <dcterms:modified xsi:type="dcterms:W3CDTF">2026-01-12T02:52:46Z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eyJoZGlkIjoiZmE5MzM0MjU3ZGE0NWFjMDI0NTczNDcxZTYwMmQ1NDAiLCJ1c2VySWQiOiIyODU2NDg5NzMifQ==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EB7718FC53E34AE185003C17BA173370_12</vt:lpwstr>
  </property>
</Properties>
</file>