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FE87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z w:val="42"/>
          <w:szCs w:val="42"/>
          <w:highlight w:val="none"/>
        </w:rPr>
      </w:pPr>
      <w:r>
        <w:rPr>
          <w:rFonts w:hint="eastAsia" w:ascii="方正小标宋简体" w:hAnsi="方正小标宋简体" w:eastAsia="方正小标宋简体" w:cs="方正小标宋简体"/>
          <w:sz w:val="42"/>
          <w:szCs w:val="42"/>
          <w:highlight w:val="none"/>
          <w:lang w:eastAsia="zh-CN"/>
        </w:rPr>
        <w:t>浉河区教育体育</w:t>
      </w:r>
      <w:r>
        <w:rPr>
          <w:rFonts w:hint="eastAsia" w:ascii="方正小标宋简体" w:hAnsi="方正小标宋简体" w:eastAsia="方正小标宋简体" w:cs="方正小标宋简体"/>
          <w:sz w:val="42"/>
          <w:szCs w:val="42"/>
          <w:highlight w:val="none"/>
        </w:rPr>
        <w:t>局</w:t>
      </w:r>
      <w:r>
        <w:rPr>
          <w:rFonts w:hint="eastAsia" w:ascii="方正小标宋简体" w:hAnsi="方正小标宋简体" w:eastAsia="方正小标宋简体" w:cs="方正小标宋简体"/>
          <w:sz w:val="42"/>
          <w:szCs w:val="42"/>
          <w:highlight w:val="none"/>
          <w:lang w:val="en-US" w:eastAsia="zh-CN"/>
        </w:rPr>
        <w:t>行政执法</w:t>
      </w:r>
      <w:r>
        <w:rPr>
          <w:rFonts w:hint="eastAsia" w:ascii="方正小标宋简体" w:hAnsi="方正小标宋简体" w:eastAsia="方正小标宋简体" w:cs="方正小标宋简体"/>
          <w:sz w:val="42"/>
          <w:szCs w:val="42"/>
          <w:highlight w:val="none"/>
        </w:rPr>
        <w:t>权责清单（202</w:t>
      </w:r>
      <w:r>
        <w:rPr>
          <w:rFonts w:hint="eastAsia" w:ascii="方正小标宋简体" w:hAnsi="方正小标宋简体" w:eastAsia="方正小标宋简体" w:cs="方正小标宋简体"/>
          <w:sz w:val="42"/>
          <w:szCs w:val="42"/>
          <w:highlight w:val="none"/>
          <w:lang w:val="en-US" w:eastAsia="zh-CN"/>
        </w:rPr>
        <w:t>6</w:t>
      </w:r>
      <w:r>
        <w:rPr>
          <w:rFonts w:hint="eastAsia" w:ascii="方正小标宋简体" w:hAnsi="方正小标宋简体" w:eastAsia="方正小标宋简体" w:cs="方正小标宋简体"/>
          <w:sz w:val="42"/>
          <w:szCs w:val="42"/>
          <w:highlight w:val="none"/>
          <w:lang w:eastAsia="zh-CN"/>
        </w:rPr>
        <w:t>年</w:t>
      </w:r>
      <w:r>
        <w:rPr>
          <w:rFonts w:hint="eastAsia" w:ascii="方正小标宋简体" w:hAnsi="方正小标宋简体" w:eastAsia="方正小标宋简体" w:cs="方正小标宋简体"/>
          <w:sz w:val="42"/>
          <w:szCs w:val="42"/>
          <w:highlight w:val="none"/>
        </w:rPr>
        <w:t>版）</w:t>
      </w:r>
    </w:p>
    <w:tbl>
      <w:tblPr>
        <w:tblStyle w:val="4"/>
        <w:tblW w:w="14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477"/>
        <w:gridCol w:w="923"/>
        <w:gridCol w:w="1292"/>
        <w:gridCol w:w="5396"/>
        <w:gridCol w:w="3654"/>
        <w:gridCol w:w="947"/>
      </w:tblGrid>
      <w:tr w14:paraId="69AB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572" w:type="dxa"/>
            <w:noWrap w:val="0"/>
            <w:vAlign w:val="center"/>
          </w:tcPr>
          <w:p w14:paraId="1F83F077">
            <w:pPr>
              <w:keepNext w:val="0"/>
              <w:keepLines w:val="0"/>
              <w:widowControl/>
              <w:suppressLineNumbers w:val="0"/>
              <w:jc w:val="center"/>
              <w:textAlignment w:val="center"/>
              <w:rPr>
                <w:rFonts w:hint="eastAsia"/>
                <w:highlight w:val="none"/>
                <w:vertAlign w:val="baseline"/>
              </w:rPr>
            </w:pPr>
            <w:r>
              <w:rPr>
                <w:rFonts w:hint="eastAsia" w:ascii="黑体" w:hAnsi="宋体" w:eastAsia="黑体" w:cs="黑体"/>
                <w:i w:val="0"/>
                <w:iCs w:val="0"/>
                <w:color w:val="000000"/>
                <w:kern w:val="0"/>
                <w:sz w:val="26"/>
                <w:szCs w:val="26"/>
                <w:highlight w:val="none"/>
                <w:u w:val="none"/>
                <w:lang w:val="en-US" w:eastAsia="zh-CN" w:bidi="ar"/>
              </w:rPr>
              <w:t>序号</w:t>
            </w:r>
          </w:p>
        </w:tc>
        <w:tc>
          <w:tcPr>
            <w:tcW w:w="1477" w:type="dxa"/>
            <w:noWrap w:val="0"/>
            <w:vAlign w:val="center"/>
          </w:tcPr>
          <w:p w14:paraId="20054A1D">
            <w:pPr>
              <w:keepNext w:val="0"/>
              <w:keepLines w:val="0"/>
              <w:widowControl/>
              <w:suppressLineNumbers w:val="0"/>
              <w:jc w:val="center"/>
              <w:textAlignment w:val="center"/>
              <w:rPr>
                <w:rFonts w:hint="eastAsia"/>
                <w:highlight w:val="none"/>
                <w:vertAlign w:val="baseline"/>
              </w:rPr>
            </w:pPr>
            <w:r>
              <w:rPr>
                <w:rFonts w:hint="eastAsia" w:ascii="黑体" w:hAnsi="宋体" w:eastAsia="黑体" w:cs="黑体"/>
                <w:i w:val="0"/>
                <w:iCs w:val="0"/>
                <w:color w:val="000000"/>
                <w:kern w:val="0"/>
                <w:sz w:val="26"/>
                <w:szCs w:val="26"/>
                <w:highlight w:val="none"/>
                <w:u w:val="none"/>
                <w:lang w:val="en-US" w:eastAsia="zh-CN" w:bidi="ar"/>
              </w:rPr>
              <w:t>项目名称</w:t>
            </w:r>
          </w:p>
        </w:tc>
        <w:tc>
          <w:tcPr>
            <w:tcW w:w="923" w:type="dxa"/>
            <w:noWrap w:val="0"/>
            <w:vAlign w:val="center"/>
          </w:tcPr>
          <w:p w14:paraId="5EB67A43">
            <w:pPr>
              <w:keepNext w:val="0"/>
              <w:keepLines w:val="0"/>
              <w:widowControl/>
              <w:suppressLineNumbers w:val="0"/>
              <w:jc w:val="center"/>
              <w:textAlignment w:val="center"/>
              <w:rPr>
                <w:rFonts w:hint="eastAsia"/>
                <w:highlight w:val="none"/>
                <w:vertAlign w:val="baseline"/>
              </w:rPr>
            </w:pPr>
            <w:r>
              <w:rPr>
                <w:rFonts w:hint="eastAsia" w:ascii="黑体" w:hAnsi="宋体" w:eastAsia="黑体" w:cs="黑体"/>
                <w:i w:val="0"/>
                <w:iCs w:val="0"/>
                <w:color w:val="000000"/>
                <w:kern w:val="0"/>
                <w:sz w:val="26"/>
                <w:szCs w:val="26"/>
                <w:highlight w:val="none"/>
                <w:u w:val="none"/>
                <w:lang w:val="en-US" w:eastAsia="zh-CN" w:bidi="ar"/>
              </w:rPr>
              <w:t>职权类别</w:t>
            </w:r>
          </w:p>
        </w:tc>
        <w:tc>
          <w:tcPr>
            <w:tcW w:w="1292" w:type="dxa"/>
            <w:noWrap w:val="0"/>
            <w:vAlign w:val="center"/>
          </w:tcPr>
          <w:p w14:paraId="436ADA49">
            <w:pPr>
              <w:keepNext w:val="0"/>
              <w:keepLines w:val="0"/>
              <w:widowControl/>
              <w:suppressLineNumbers w:val="0"/>
              <w:jc w:val="center"/>
              <w:textAlignment w:val="center"/>
              <w:rPr>
                <w:rFonts w:hint="eastAsia"/>
                <w:highlight w:val="none"/>
                <w:vertAlign w:val="baseline"/>
              </w:rPr>
            </w:pPr>
            <w:r>
              <w:rPr>
                <w:rFonts w:hint="eastAsia" w:ascii="黑体" w:hAnsi="宋体" w:eastAsia="黑体" w:cs="黑体"/>
                <w:i w:val="0"/>
                <w:iCs w:val="0"/>
                <w:color w:val="000000"/>
                <w:kern w:val="0"/>
                <w:sz w:val="26"/>
                <w:szCs w:val="26"/>
                <w:highlight w:val="none"/>
                <w:u w:val="none"/>
                <w:lang w:val="en-US" w:eastAsia="zh-CN" w:bidi="ar"/>
              </w:rPr>
              <w:t>实施主体</w:t>
            </w:r>
          </w:p>
        </w:tc>
        <w:tc>
          <w:tcPr>
            <w:tcW w:w="5396" w:type="dxa"/>
            <w:noWrap w:val="0"/>
            <w:vAlign w:val="center"/>
          </w:tcPr>
          <w:p w14:paraId="7E055ADC">
            <w:pPr>
              <w:keepNext w:val="0"/>
              <w:keepLines w:val="0"/>
              <w:widowControl/>
              <w:suppressLineNumbers w:val="0"/>
              <w:jc w:val="center"/>
              <w:textAlignment w:val="center"/>
              <w:rPr>
                <w:rFonts w:hint="eastAsia"/>
                <w:highlight w:val="none"/>
                <w:vertAlign w:val="baseline"/>
              </w:rPr>
            </w:pPr>
            <w:r>
              <w:rPr>
                <w:rFonts w:hint="eastAsia" w:ascii="黑体" w:hAnsi="宋体" w:eastAsia="黑体" w:cs="黑体"/>
                <w:i w:val="0"/>
                <w:iCs w:val="0"/>
                <w:color w:val="000000"/>
                <w:kern w:val="0"/>
                <w:sz w:val="26"/>
                <w:szCs w:val="26"/>
                <w:highlight w:val="none"/>
                <w:u w:val="none"/>
                <w:lang w:val="en-US" w:eastAsia="zh-CN" w:bidi="ar"/>
              </w:rPr>
              <w:t>设定依据</w:t>
            </w:r>
          </w:p>
        </w:tc>
        <w:tc>
          <w:tcPr>
            <w:tcW w:w="3654" w:type="dxa"/>
            <w:noWrap w:val="0"/>
            <w:vAlign w:val="center"/>
          </w:tcPr>
          <w:p w14:paraId="2ED62884">
            <w:pPr>
              <w:keepNext w:val="0"/>
              <w:keepLines w:val="0"/>
              <w:widowControl/>
              <w:suppressLineNumbers w:val="0"/>
              <w:jc w:val="center"/>
              <w:textAlignment w:val="center"/>
              <w:rPr>
                <w:rFonts w:hint="eastAsia"/>
                <w:highlight w:val="none"/>
                <w:vertAlign w:val="baseline"/>
              </w:rPr>
            </w:pPr>
            <w:r>
              <w:rPr>
                <w:rFonts w:hint="eastAsia" w:ascii="黑体" w:hAnsi="宋体" w:eastAsia="黑体" w:cs="黑体"/>
                <w:i w:val="0"/>
                <w:iCs w:val="0"/>
                <w:color w:val="000000"/>
                <w:kern w:val="0"/>
                <w:sz w:val="26"/>
                <w:szCs w:val="26"/>
                <w:highlight w:val="none"/>
                <w:u w:val="none"/>
                <w:lang w:val="en-US" w:eastAsia="zh-CN" w:bidi="ar"/>
              </w:rPr>
              <w:t>履职方式</w:t>
            </w:r>
          </w:p>
        </w:tc>
        <w:tc>
          <w:tcPr>
            <w:tcW w:w="947" w:type="dxa"/>
            <w:noWrap w:val="0"/>
            <w:vAlign w:val="center"/>
          </w:tcPr>
          <w:p w14:paraId="0FF95E07">
            <w:pPr>
              <w:keepNext w:val="0"/>
              <w:keepLines w:val="0"/>
              <w:widowControl/>
              <w:suppressLineNumbers w:val="0"/>
              <w:jc w:val="center"/>
              <w:textAlignment w:val="center"/>
              <w:rPr>
                <w:rFonts w:hint="eastAsia"/>
                <w:highlight w:val="none"/>
                <w:vertAlign w:val="baseline"/>
              </w:rPr>
            </w:pPr>
            <w:r>
              <w:rPr>
                <w:rFonts w:hint="eastAsia" w:ascii="黑体" w:hAnsi="宋体" w:eastAsia="黑体" w:cs="黑体"/>
                <w:i w:val="0"/>
                <w:iCs w:val="0"/>
                <w:color w:val="000000"/>
                <w:kern w:val="0"/>
                <w:sz w:val="26"/>
                <w:szCs w:val="26"/>
                <w:highlight w:val="none"/>
                <w:u w:val="none"/>
                <w:lang w:val="en-US" w:eastAsia="zh-CN" w:bidi="ar"/>
              </w:rPr>
              <w:t>追责形式</w:t>
            </w:r>
          </w:p>
        </w:tc>
      </w:tr>
      <w:tr w14:paraId="03E6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5" w:hRule="atLeast"/>
          <w:jc w:val="center"/>
        </w:trPr>
        <w:tc>
          <w:tcPr>
            <w:tcW w:w="572" w:type="dxa"/>
            <w:noWrap w:val="0"/>
            <w:vAlign w:val="center"/>
          </w:tcPr>
          <w:p w14:paraId="59FF76B2">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1</w:t>
            </w:r>
          </w:p>
        </w:tc>
        <w:tc>
          <w:tcPr>
            <w:tcW w:w="1477" w:type="dxa"/>
            <w:noWrap w:val="0"/>
            <w:vAlign w:val="center"/>
          </w:tcPr>
          <w:p w14:paraId="14294976">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仿宋" w:cs="Times New Roman"/>
                <w:highlight w:val="none"/>
                <w:vertAlign w:val="baseline"/>
                <w:lang w:eastAsia="zh-CN"/>
              </w:rPr>
            </w:pPr>
            <w:r>
              <w:rPr>
                <w:rFonts w:hint="default" w:ascii="Times New Roman" w:hAnsi="Times New Roman" w:eastAsia="仿宋" w:cs="Times New Roman"/>
                <w:highlight w:val="none"/>
                <w:vertAlign w:val="baseline"/>
              </w:rPr>
              <w:t>对体育赛事活动组织者举办高危险性体育赛事活动是否经许可的行政检查</w:t>
            </w:r>
          </w:p>
        </w:tc>
        <w:tc>
          <w:tcPr>
            <w:tcW w:w="923" w:type="dxa"/>
            <w:noWrap w:val="0"/>
            <w:vAlign w:val="center"/>
          </w:tcPr>
          <w:p w14:paraId="022FEB45">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仿宋" w:cs="Times New Roman"/>
                <w:b/>
                <w:bCs/>
                <w:color w:val="auto"/>
                <w:highlight w:val="none"/>
                <w:vertAlign w:val="baseline"/>
                <w:lang w:eastAsia="zh-CN"/>
              </w:rPr>
            </w:pPr>
            <w:bookmarkStart w:id="0" w:name="_GoBack"/>
            <w:r>
              <w:rPr>
                <w:rFonts w:hint="default" w:ascii="Times New Roman" w:hAnsi="Times New Roman" w:eastAsia="仿宋" w:cs="Times New Roman"/>
                <w:b/>
                <w:bCs/>
                <w:color w:val="auto"/>
                <w:highlight w:val="none"/>
                <w:vertAlign w:val="baseline"/>
                <w:lang w:eastAsia="zh-CN"/>
              </w:rPr>
              <w:t>行政</w:t>
            </w:r>
          </w:p>
          <w:p w14:paraId="6F3C2D43">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仿宋" w:cs="Times New Roman"/>
                <w:color w:val="000000" w:themeColor="text1"/>
                <w:highlight w:val="none"/>
                <w:vertAlign w:val="baseline"/>
                <w:lang w:eastAsia="zh-CN"/>
                <w14:textFill>
                  <w14:solidFill>
                    <w14:schemeClr w14:val="tx1"/>
                  </w14:solidFill>
                </w14:textFill>
              </w:rPr>
            </w:pPr>
            <w:r>
              <w:rPr>
                <w:rFonts w:hint="eastAsia" w:ascii="Times New Roman" w:hAnsi="Times New Roman" w:eastAsia="仿宋" w:cs="Times New Roman"/>
                <w:b/>
                <w:bCs/>
                <w:color w:val="auto"/>
                <w:highlight w:val="none"/>
                <w:vertAlign w:val="baseline"/>
                <w:lang w:val="en-US" w:eastAsia="zh-CN"/>
              </w:rPr>
              <w:t>检查</w:t>
            </w:r>
            <w:bookmarkEnd w:id="0"/>
          </w:p>
        </w:tc>
        <w:tc>
          <w:tcPr>
            <w:tcW w:w="1292" w:type="dxa"/>
            <w:noWrap w:val="0"/>
            <w:vAlign w:val="center"/>
          </w:tcPr>
          <w:p w14:paraId="31316BC6">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仿宋" w:cs="Times New Roman"/>
                <w:highlight w:val="none"/>
                <w:vertAlign w:val="baseline"/>
                <w:lang w:eastAsia="zh-CN"/>
              </w:rPr>
            </w:pPr>
            <w:r>
              <w:rPr>
                <w:rFonts w:hint="eastAsia" w:ascii="Times New Roman" w:hAnsi="Times New Roman" w:eastAsia="仿宋" w:cs="Times New Roman"/>
                <w:highlight w:val="none"/>
                <w:vertAlign w:val="baseline"/>
                <w:lang w:eastAsia="zh-CN"/>
              </w:rPr>
              <w:t>浉河区</w:t>
            </w:r>
          </w:p>
          <w:p w14:paraId="5F273519">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仿宋" w:cs="Times New Roman"/>
                <w:highlight w:val="none"/>
                <w:vertAlign w:val="baseline"/>
                <w:lang w:eastAsia="zh-CN"/>
              </w:rPr>
            </w:pPr>
            <w:r>
              <w:rPr>
                <w:rFonts w:hint="eastAsia" w:ascii="Times New Roman" w:hAnsi="Times New Roman" w:eastAsia="仿宋" w:cs="Times New Roman"/>
                <w:highlight w:val="none"/>
                <w:vertAlign w:val="baseline"/>
                <w:lang w:eastAsia="zh-CN"/>
              </w:rPr>
              <w:t>教育体育局</w:t>
            </w:r>
          </w:p>
        </w:tc>
        <w:tc>
          <w:tcPr>
            <w:tcW w:w="5396" w:type="dxa"/>
            <w:noWrap w:val="0"/>
            <w:vAlign w:val="center"/>
          </w:tcPr>
          <w:p w14:paraId="31DC404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 w:cs="Times New Roman"/>
                <w:highlight w:val="none"/>
                <w:vertAlign w:val="baseline"/>
                <w:lang w:val="en-US" w:eastAsia="zh-CN"/>
              </w:rPr>
            </w:pPr>
            <w:r>
              <w:rPr>
                <w:rFonts w:hint="eastAsia" w:ascii="Times New Roman" w:hAnsi="Times New Roman" w:eastAsia="仿宋" w:cs="Times New Roman"/>
                <w:highlight w:val="none"/>
                <w:vertAlign w:val="baseline"/>
                <w:lang w:val="en-US" w:eastAsia="zh-CN"/>
              </w:rPr>
              <w:t>中华人民共和国体育法（2022版）</w:t>
            </w:r>
          </w:p>
          <w:p w14:paraId="6A9F524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 w:cs="Times New Roman"/>
                <w:highlight w:val="none"/>
                <w:vertAlign w:val="baseline"/>
              </w:rPr>
            </w:pPr>
            <w:r>
              <w:rPr>
                <w:rFonts w:hint="default" w:ascii="Times New Roman" w:hAnsi="Times New Roman" w:eastAsia="仿宋" w:cs="Times New Roman"/>
                <w:highlight w:val="none"/>
                <w:vertAlign w:val="baseline"/>
              </w:rPr>
              <w:t>第一百零六条  举办高危险性体育赛事活动，应当符合下列条件，并向县级以上地方人民政府体育行政部门提出申请：</w:t>
            </w:r>
          </w:p>
          <w:p w14:paraId="0F35269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 w:cs="Times New Roman"/>
                <w:highlight w:val="none"/>
                <w:vertAlign w:val="baseline"/>
              </w:rPr>
            </w:pPr>
            <w:r>
              <w:rPr>
                <w:rFonts w:hint="default" w:ascii="Times New Roman" w:hAnsi="Times New Roman" w:eastAsia="仿宋" w:cs="Times New Roman"/>
                <w:highlight w:val="none"/>
                <w:vertAlign w:val="baseline"/>
              </w:rPr>
              <w:t>（一）配备具有相应资格或者资质的专业技术人员；</w:t>
            </w:r>
          </w:p>
          <w:p w14:paraId="43B9252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 w:cs="Times New Roman"/>
                <w:highlight w:val="none"/>
                <w:vertAlign w:val="baseline"/>
              </w:rPr>
            </w:pPr>
            <w:r>
              <w:rPr>
                <w:rFonts w:hint="default" w:ascii="Times New Roman" w:hAnsi="Times New Roman" w:eastAsia="仿宋" w:cs="Times New Roman"/>
                <w:highlight w:val="none"/>
                <w:vertAlign w:val="baseline"/>
              </w:rPr>
              <w:t>（二）配置符合相关标准和要求的场地、器材和设施；</w:t>
            </w:r>
          </w:p>
          <w:p w14:paraId="5CA44E0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 w:cs="Times New Roman"/>
                <w:highlight w:val="none"/>
                <w:vertAlign w:val="baseline"/>
              </w:rPr>
            </w:pPr>
            <w:r>
              <w:rPr>
                <w:rFonts w:hint="default" w:ascii="Times New Roman" w:hAnsi="Times New Roman" w:eastAsia="仿宋" w:cs="Times New Roman"/>
                <w:highlight w:val="none"/>
                <w:vertAlign w:val="baseline"/>
              </w:rPr>
              <w:t>（三）制定通信、安全、交通、卫生健康、食品、应急救援等相关保障措施。</w:t>
            </w:r>
          </w:p>
          <w:p w14:paraId="191C39B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 w:cs="Times New Roman"/>
                <w:highlight w:val="none"/>
                <w:vertAlign w:val="baseline"/>
              </w:rPr>
            </w:pPr>
            <w:r>
              <w:rPr>
                <w:rFonts w:hint="default" w:ascii="Times New Roman" w:hAnsi="Times New Roman" w:eastAsia="仿宋" w:cs="Times New Roman"/>
                <w:highlight w:val="none"/>
                <w:vertAlign w:val="baseline"/>
              </w:rPr>
              <w:t>县级以上地方人民政府体育行政部门应当自收到申请之日起三十日内进行实地核查，并作出批准或者不予批准的决定。</w:t>
            </w:r>
          </w:p>
        </w:tc>
        <w:tc>
          <w:tcPr>
            <w:tcW w:w="3654" w:type="dxa"/>
            <w:noWrap w:val="0"/>
            <w:vAlign w:val="center"/>
          </w:tcPr>
          <w:p w14:paraId="792DC72A">
            <w:pPr>
              <w:keepNext w:val="0"/>
              <w:keepLines w:val="0"/>
              <w:pageBreakBefore w:val="0"/>
              <w:kinsoku/>
              <w:wordWrap/>
              <w:overflowPunct/>
              <w:topLinePunct w:val="0"/>
              <w:autoSpaceDE/>
              <w:autoSpaceDN/>
              <w:bidi w:val="0"/>
              <w:adjustRightInd w:val="0"/>
              <w:snapToGrid w:val="0"/>
              <w:spacing w:line="240" w:lineRule="auto"/>
              <w:jc w:val="both"/>
              <w:rPr>
                <w:rFonts w:hint="default" w:ascii="Times New Roman" w:hAnsi="Times New Roman" w:eastAsia="仿宋" w:cs="Times New Roman"/>
                <w:highlight w:val="none"/>
                <w:vertAlign w:val="baseline"/>
              </w:rPr>
            </w:pPr>
            <w:r>
              <w:rPr>
                <w:rFonts w:hint="default" w:ascii="Times New Roman" w:hAnsi="Times New Roman" w:eastAsia="仿宋" w:cs="Times New Roman"/>
                <w:sz w:val="20"/>
                <w:szCs w:val="22"/>
                <w:highlight w:val="none"/>
                <w:vertAlign w:val="baseline"/>
              </w:rPr>
              <w:t>1.检查责任：通过日常巡查、专项检查、投诉举报核查等方式，对辖区内高危险性体育赛事活动组织者是否取得许可、许可条件保持情况开展检查。2.审查责任：核查组织者的许可文书、场地设施检测报告、安全管理制度等相关材料，必要时现场核查实际情况。3.处置责任：对未取得许可擅自举办、许可条件未保持的，依法责令整改或查处，并告知当事人权利救济途径。4.信息公开责任：按规定公开检查结果、查处情况等信息，接受社会监督。5.事后监管责任：建立长效监管机制，跟踪整改落实情况，防范违法违规举办行为反弹。</w:t>
            </w:r>
          </w:p>
        </w:tc>
        <w:tc>
          <w:tcPr>
            <w:tcW w:w="947" w:type="dxa"/>
            <w:noWrap w:val="0"/>
            <w:vAlign w:val="center"/>
          </w:tcPr>
          <w:p w14:paraId="06FA38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sz w:val="18"/>
                <w:szCs w:val="18"/>
                <w:highlight w:val="none"/>
                <w:vertAlign w:val="baseline"/>
                <w:lang w:val="en-US" w:eastAsia="zh-CN"/>
              </w:rPr>
            </w:pPr>
            <w:r>
              <w:rPr>
                <w:rFonts w:hint="eastAsia" w:ascii="Times New Roman" w:hAnsi="Times New Roman" w:eastAsia="仿宋" w:cs="Times New Roman"/>
                <w:highlight w:val="none"/>
                <w:vertAlign w:val="baseline"/>
                <w:lang w:val="en-US" w:eastAsia="zh-CN"/>
              </w:rPr>
              <w:t>体</w:t>
            </w:r>
            <w:r>
              <w:rPr>
                <w:rFonts w:hint="eastAsia" w:ascii="Times New Roman" w:hAnsi="Times New Roman" w:eastAsia="仿宋" w:cs="Times New Roman"/>
                <w:highlight w:val="none"/>
                <w:vertAlign w:val="baseline"/>
                <w:lang w:eastAsia="zh-CN"/>
              </w:rPr>
              <w:t>育股</w:t>
            </w:r>
          </w:p>
        </w:tc>
      </w:tr>
      <w:tr w14:paraId="0781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5" w:hRule="atLeast"/>
          <w:jc w:val="center"/>
        </w:trPr>
        <w:tc>
          <w:tcPr>
            <w:tcW w:w="572" w:type="dxa"/>
            <w:noWrap w:val="0"/>
            <w:vAlign w:val="center"/>
          </w:tcPr>
          <w:p w14:paraId="1B517F1E">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仿宋" w:cs="Times New Roman"/>
                <w:highlight w:val="none"/>
                <w:vertAlign w:val="baseline"/>
                <w:lang w:val="en-US" w:eastAsia="zh-CN"/>
              </w:rPr>
            </w:pPr>
            <w:r>
              <w:rPr>
                <w:rFonts w:hint="eastAsia" w:ascii="Times New Roman" w:hAnsi="Times New Roman" w:eastAsia="仿宋" w:cs="Times New Roman"/>
                <w:highlight w:val="none"/>
                <w:vertAlign w:val="baseline"/>
                <w:lang w:val="en-US" w:eastAsia="zh-CN"/>
              </w:rPr>
              <w:t>2</w:t>
            </w:r>
          </w:p>
        </w:tc>
        <w:tc>
          <w:tcPr>
            <w:tcW w:w="1477" w:type="dxa"/>
            <w:noWrap w:val="0"/>
            <w:vAlign w:val="center"/>
          </w:tcPr>
          <w:p w14:paraId="05FEB923">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仿宋" w:cs="Times New Roman"/>
                <w:highlight w:val="none"/>
                <w:vertAlign w:val="baseline"/>
              </w:rPr>
            </w:pPr>
            <w:r>
              <w:rPr>
                <w:rFonts w:hint="default" w:ascii="Times New Roman" w:hAnsi="Times New Roman" w:eastAsia="仿宋" w:cs="Times New Roman"/>
                <w:highlight w:val="none"/>
                <w:vertAlign w:val="baseline"/>
              </w:rPr>
              <w:t xml:space="preserve">对体育赛事安全条件是否符合要求的行政检查   </w:t>
            </w:r>
          </w:p>
        </w:tc>
        <w:tc>
          <w:tcPr>
            <w:tcW w:w="923" w:type="dxa"/>
            <w:noWrap w:val="0"/>
            <w:vAlign w:val="center"/>
          </w:tcPr>
          <w:p w14:paraId="0C5C6C55">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仿宋" w:cs="Times New Roman"/>
                <w:b/>
                <w:bCs/>
                <w:color w:val="FF0000"/>
                <w:highlight w:val="none"/>
                <w:vertAlign w:val="baseline"/>
                <w:lang w:val="en-US" w:eastAsia="zh-CN"/>
              </w:rPr>
            </w:pPr>
            <w:r>
              <w:rPr>
                <w:rFonts w:hint="default" w:ascii="Times New Roman" w:hAnsi="Times New Roman" w:eastAsia="仿宋" w:cs="Times New Roman"/>
                <w:highlight w:val="none"/>
                <w:vertAlign w:val="baseline"/>
              </w:rPr>
              <w:t>行政检查</w:t>
            </w:r>
          </w:p>
        </w:tc>
        <w:tc>
          <w:tcPr>
            <w:tcW w:w="1292" w:type="dxa"/>
            <w:noWrap w:val="0"/>
            <w:vAlign w:val="center"/>
          </w:tcPr>
          <w:p w14:paraId="43CBF053">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仿宋" w:cs="Times New Roman"/>
                <w:highlight w:val="none"/>
                <w:vertAlign w:val="baseline"/>
                <w:lang w:eastAsia="zh-CN"/>
              </w:rPr>
            </w:pPr>
            <w:r>
              <w:rPr>
                <w:rFonts w:hint="default" w:ascii="Times New Roman" w:hAnsi="Times New Roman" w:eastAsia="仿宋" w:cs="Times New Roman"/>
                <w:highlight w:val="none"/>
                <w:vertAlign w:val="baseline"/>
              </w:rPr>
              <w:t>浉河区教育体育局</w:t>
            </w:r>
          </w:p>
        </w:tc>
        <w:tc>
          <w:tcPr>
            <w:tcW w:w="5396" w:type="dxa"/>
            <w:noWrap w:val="0"/>
            <w:vAlign w:val="center"/>
          </w:tcPr>
          <w:p w14:paraId="4B3540C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 w:cs="Times New Roman"/>
                <w:highlight w:val="none"/>
                <w:vertAlign w:val="baseline"/>
                <w:lang w:val="en-US" w:eastAsia="zh-CN"/>
              </w:rPr>
            </w:pPr>
            <w:r>
              <w:rPr>
                <w:rFonts w:hint="eastAsia" w:ascii="Times New Roman" w:hAnsi="Times New Roman" w:eastAsia="仿宋" w:cs="Times New Roman"/>
                <w:highlight w:val="none"/>
                <w:vertAlign w:val="baseline"/>
                <w:lang w:val="en-US" w:eastAsia="zh-CN"/>
              </w:rPr>
              <w:t>《</w:t>
            </w:r>
            <w:r>
              <w:rPr>
                <w:rFonts w:hint="default" w:ascii="Times New Roman" w:hAnsi="Times New Roman" w:eastAsia="仿宋" w:cs="Times New Roman"/>
                <w:highlight w:val="none"/>
                <w:vertAlign w:val="baseline"/>
                <w:lang w:val="en-US" w:eastAsia="zh-CN"/>
              </w:rPr>
              <w:t>体育赛事活动管理办法</w:t>
            </w:r>
            <w:r>
              <w:rPr>
                <w:rFonts w:hint="eastAsia" w:ascii="Times New Roman" w:hAnsi="Times New Roman" w:eastAsia="仿宋" w:cs="Times New Roman"/>
                <w:highlight w:val="none"/>
                <w:vertAlign w:val="baseline"/>
                <w:lang w:val="en-US" w:eastAsia="zh-CN"/>
              </w:rPr>
              <w:t>》</w:t>
            </w:r>
          </w:p>
          <w:p w14:paraId="14D6E1D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第四十七条　体育行政部门应当建立健全体育赛事活动监管工作机制，对赛事活动场地实施现场检查，查阅、复制有关合同、票据、账簿，检查赛事活动组织方案、安全应急预案等材料。体育行政部门及其工作人员应当对履行职责中知悉的商业秘密和个人隐私严格保密，不得泄露或者非法向他人提供。</w:t>
            </w:r>
          </w:p>
          <w:p w14:paraId="61FAE5C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体育行政部门应当综合运用多种监管手段，充分发挥“互联网+监管”的功能，建立赛事活动报告制度，加强对所辖区域内体育赛事活动的信息收集工作，加快实现各有关部门、各层级和各领域监管信息共享和统一应用，实现综合监管、智慧监管、动态监管。</w:t>
            </w:r>
          </w:p>
          <w:p w14:paraId="59F6C3C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第四十八条　体育行政部门对体育赛事活动举办前或举办中发现涉嫌不符合体育赛事活动条件、标准、规则等情形的，存在重大安全隐患的，或收到有关单位、个人提出相关建议、投诉、举报的，应当及时予以处理，提出整改建议；属于其他部门职责范围的，应当及时移交并积极配合协助处理。</w:t>
            </w:r>
          </w:p>
          <w:p w14:paraId="36E9F08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 w:cs="Times New Roman"/>
                <w:highlight w:val="none"/>
                <w:vertAlign w:val="baseline"/>
                <w:lang w:val="en-US" w:eastAsia="zh-CN"/>
              </w:rPr>
            </w:pPr>
          </w:p>
        </w:tc>
        <w:tc>
          <w:tcPr>
            <w:tcW w:w="3654" w:type="dxa"/>
            <w:noWrap w:val="0"/>
            <w:vAlign w:val="center"/>
          </w:tcPr>
          <w:p w14:paraId="6690340F">
            <w:pPr>
              <w:keepNext w:val="0"/>
              <w:keepLines w:val="0"/>
              <w:pageBreakBefore w:val="0"/>
              <w:kinsoku/>
              <w:wordWrap/>
              <w:overflowPunct/>
              <w:topLinePunct w:val="0"/>
              <w:autoSpaceDE/>
              <w:autoSpaceDN/>
              <w:bidi w:val="0"/>
              <w:adjustRightInd w:val="0"/>
              <w:snapToGrid w:val="0"/>
              <w:spacing w:line="240" w:lineRule="auto"/>
              <w:jc w:val="both"/>
              <w:rPr>
                <w:rFonts w:hint="default" w:ascii="Times New Roman" w:hAnsi="Times New Roman" w:eastAsia="仿宋" w:cs="Times New Roman"/>
                <w:sz w:val="20"/>
                <w:szCs w:val="22"/>
                <w:highlight w:val="none"/>
                <w:vertAlign w:val="baseline"/>
              </w:rPr>
            </w:pPr>
            <w:r>
              <w:rPr>
                <w:rFonts w:hint="default" w:ascii="Times New Roman" w:hAnsi="Times New Roman" w:eastAsia="仿宋" w:cs="Times New Roman"/>
                <w:sz w:val="20"/>
                <w:szCs w:val="22"/>
                <w:highlight w:val="none"/>
                <w:vertAlign w:val="baseline"/>
              </w:rPr>
              <w:t>1.检查责任：通过日常巡查、赛前专项检查、赛事期间抽查、投诉举报核查等方式，对辖区内体育赛事（含高危险性体育赛事、大型群众性体育赛事）的安全条件开展全面检查。2.审查责任：核查赛事安全管理制度、应急救援预案、场地器材检测报告、安全及救护人员资质证明等材料，重点核验是否符合国家相关安全标准。3.现场核查责任：实地检查场地设施完好性、安全通道畅通情况、应急救援设备配置、安全警示标识设置等实际安全状况。4.处置责任：对安全条件不符合要求的，依法责令组织者限期整改、暂停赛事或终止赛事；对违法违规行为依法查处，并告知当事人权利救济途径。5.事后监管责任：跟踪整改落实情况，建立赛事安全监管档案，常态化开展安全风险排查，防范安全事故发生。</w:t>
            </w:r>
          </w:p>
        </w:tc>
        <w:tc>
          <w:tcPr>
            <w:tcW w:w="947" w:type="dxa"/>
            <w:noWrap w:val="0"/>
            <w:vAlign w:val="center"/>
          </w:tcPr>
          <w:p w14:paraId="6691B0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highlight w:val="none"/>
                <w:vertAlign w:val="baseline"/>
                <w:lang w:val="en-US" w:eastAsia="zh-CN"/>
              </w:rPr>
            </w:pPr>
            <w:r>
              <w:rPr>
                <w:rFonts w:hint="eastAsia" w:ascii="Times New Roman" w:hAnsi="Times New Roman" w:eastAsia="仿宋" w:cs="Times New Roman"/>
                <w:highlight w:val="none"/>
                <w:vertAlign w:val="baseline"/>
                <w:lang w:val="en-US" w:eastAsia="zh-CN"/>
              </w:rPr>
              <w:t>体育股</w:t>
            </w:r>
          </w:p>
        </w:tc>
      </w:tr>
    </w:tbl>
    <w:p w14:paraId="6C19CAD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D4205"/>
    <w:rsid w:val="006954B8"/>
    <w:rsid w:val="0F0E5742"/>
    <w:rsid w:val="29BD4205"/>
    <w:rsid w:val="327F2C42"/>
    <w:rsid w:val="32F45039"/>
    <w:rsid w:val="3AE83B30"/>
    <w:rsid w:val="3FA141F3"/>
    <w:rsid w:val="4A564E93"/>
    <w:rsid w:val="4CFC6D04"/>
    <w:rsid w:val="4F1675E8"/>
    <w:rsid w:val="59DA60A1"/>
    <w:rsid w:val="5D2B49E2"/>
    <w:rsid w:val="63E75175"/>
    <w:rsid w:val="72CC05AD"/>
    <w:rsid w:val="75D61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6b29ec01-d95c-4f80-8626-025bdaec38ca</errorID>
      <errorWord>(</errorWord>
      <group>L1_Format</group>
      <groupName>格式问题</groupName>
      <ability>L2_HalfPunc</ability>
      <abilityName>全半角检查</abilityName>
      <candidateList>
        <item>（</item>
      </candidateList>
      <explain>文本全半角错误。</explain>
      <paraID>49A7C016</paraID>
      <start>12</start>
      <end>13</end>
      <status>modified</status>
      <modifiedWord>（</modifiedWord>
      <trackRevisions>false</trackRevisions>
    </reviewItem>
    <reviewItem>
      <errorID>81fff9b9-44df-4cdb-93e2-3cc6b8faa406</errorID>
      <errorWord>)</errorWord>
      <group>L1_Format</group>
      <groupName>格式问题</groupName>
      <ability>L2_HalfPunc</ability>
      <abilityName>全半角检查</abilityName>
      <candidateList>
        <item>）</item>
      </candidateList>
      <explain>文本全半角错误。</explain>
      <paraID>49A7C016</paraID>
      <start>22</start>
      <end>23</end>
      <status>modified</status>
      <modifiedWord>）</modifiedWord>
      <trackRevisions>false</trackRevisions>
    </reviewItem>
    <reviewItem>
      <errorID>39f3c182-991a-44d6-87e5-481086d8cd16</errorID>
      <errorWord>(</errorWord>
      <group>L1_Format</group>
      <groupName>格式问题</groupName>
      <ability>L2_HalfPunc</ability>
      <abilityName>全半角检查</abilityName>
      <candidateList>
        <item>（</item>
      </candidateList>
      <explain>文本全半角错误。</explain>
      <paraID>49A7C016</paraID>
      <start>47</start>
      <end>48</end>
      <status>modified</status>
      <modifiedWord>（</modifiedWord>
      <trackRevisions>false</trackRevisions>
    </reviewItem>
    <reviewItem>
      <errorID>a1325cc8-997f-41e2-b17a-070222473ee9</errorID>
      <errorWord>)</errorWord>
      <group>L1_Format</group>
      <groupName>格式问题</groupName>
      <ability>L2_HalfPunc</ability>
      <abilityName>全半角检查</abilityName>
      <candidateList>
        <item>）</item>
      </candidateList>
      <explain>文本全半角错误。</explain>
      <paraID>49A7C016</paraID>
      <start>49</start>
      <end>50</end>
      <status>modified</status>
      <modifiedWord>）</modifiedWord>
      <trackRevisions>false</trackRevisions>
    </reviewItem>
    <reviewItem>
      <errorID>fe21893c-f563-4cec-bbf9-d4269f176abe</errorID>
      <errorWord>法律、法规</errorWord>
      <group>L1_Word</group>
      <groupName>字词问题</groupName>
      <ability>L2_Typo</ability>
      <abilityName>字词错误</abilityName>
      <candidateList>
        <item>法律法规</item>
      </candidateList>
      <explain/>
      <paraID>49A7C016</paraID>
      <start>97</start>
      <end>102</end>
      <status>unmodified</status>
      <modifiedWord/>
      <trackRevisions>false</trackRevisions>
    </reviewItem>
    <reviewItem>
      <errorID>9abc39af-849a-4800-b076-6c96f55bc870</errorID>
      <errorWord>(</errorWord>
      <group>L1_Format</group>
      <groupName>格式问题</groupName>
      <ability>L2_HalfPunc</ability>
      <abilityName>全半角检查</abilityName>
      <candidateList>
        <item>（</item>
      </candidateList>
      <explain>文本全半角错误。</explain>
      <paraID>49A7C016</paraID>
      <start>118</start>
      <end>119</end>
      <status>modified</status>
      <modifiedWord>（</modifiedWord>
      <trackRevisions>false</trackRevisions>
    </reviewItem>
    <reviewItem>
      <errorID>17a8f606-86de-408f-8367-b2cb94fca3e4</errorID>
      <errorWord>)</errorWord>
      <group>L1_Format</group>
      <groupName>格式问题</groupName>
      <ability>L2_HalfPunc</ability>
      <abilityName>全半角检查</abilityName>
      <candidateList>
        <item>）</item>
      </candidateList>
      <explain>文本全半角错误。</explain>
      <paraID>49A7C016</paraID>
      <start>120</start>
      <end>121</end>
      <status>modified</status>
      <modifiedWord>）</modifiedWord>
      <trackRevisions>false</trackRevisions>
    </reviewItem>
    <reviewItem>
      <errorID>227134e7-1232-40ca-b62b-33b48d386218</errorID>
      <errorWord>(</errorWord>
      <group>L1_Format</group>
      <groupName>格式问题</groupName>
      <ability>L2_HalfPunc</ability>
      <abilityName>全半角检查</abilityName>
      <candidateList>
        <item>（</item>
      </candidateList>
      <explain>文本全半角错误。</explain>
      <paraID>49A7C016</paraID>
      <start>165</start>
      <end>166</end>
      <status>modified</status>
      <modifiedWord>（</modifiedWord>
      <trackRevisions>false</trackRevisions>
    </reviewItem>
    <reviewItem>
      <errorID>04b084f9-b417-41e4-9ded-f488be7e953b</errorID>
      <errorWord>)</errorWord>
      <group>L1_Format</group>
      <groupName>格式问题</groupName>
      <ability>L2_HalfPunc</ability>
      <abilityName>全半角检查</abilityName>
      <candidateList>
        <item>）</item>
      </candidateList>
      <explain>文本全半角错误。</explain>
      <paraID>49A7C016</paraID>
      <start>167</start>
      <end>168</end>
      <status>modified</status>
      <modifiedWord>）</modifiedWord>
      <trackRevisions>false</trackRevisions>
    </reviewItem>
    <reviewItem>
      <errorID>55017893-199e-4148-a452-17117d1715a5</errorID>
      <errorWord>觉理</errorWord>
      <group>L1_Word</group>
      <groupName>字词问题</groupName>
      <ability>L2_Typo</ability>
      <abilityName>字词错误</abilityName>
      <candidateList>
        <item>受理</item>
      </candidateList>
      <explain/>
      <paraID>33F7AADB</paraID>
      <start>31</start>
      <end>33</end>
      <status>modified</status>
      <modifiedWord>受理</modifiedWord>
      <trackRevisions>false</trackRevisions>
    </reviewItem>
    <reviewItem>
      <errorID>9d3f9f76-8b68-4864-888f-7e547db2358a</errorID>
      <errorWord>(</errorWord>
      <group>L1_Punc</group>
      <groupName>标点问题</groupName>
      <ability>L2_Punc</ability>
      <abilityName>标点符号检查</abilityName>
      <candidateList/>
      <explain/>
      <paraID>33F7AADB</paraID>
      <start>38</start>
      <end>39</end>
      <status>ignored</status>
      <modifiedWord/>
      <trackRevisions>false</trackRevisions>
    </reviewItem>
    <reviewItem>
      <errorID>7dc05d56-e7b3-4f9a-a19e-5fc50ebe7248</errorID>
      <errorWord>〕</errorWord>
      <group>L1_Punc</group>
      <groupName>标点问题</groupName>
      <ability>L2_Punc</ability>
      <abilityName>标点符号检查</abilityName>
      <candidateList/>
      <explain/>
      <paraID>33F7AADB</paraID>
      <start>50</start>
      <end>51</end>
      <status>ignored</status>
      <modifiedWord/>
      <trackRevisions>false</trackRevisions>
    </reviewItem>
    <reviewItem>
      <errorID>be05913f-3260-4a93-9a83-ceba63bd0347</errorID>
      <errorWord>(</errorWord>
      <group>L1_Format</group>
      <groupName>格式问题</groupName>
      <ability>L2_HalfPunc</ability>
      <abilityName>全半角检查</abilityName>
      <candidateList>
        <item>（</item>
      </candidateList>
      <explain>文本全半角错误。</explain>
      <paraID>33F7AADB</paraID>
      <start>111</start>
      <end>112</end>
      <status>modified</status>
      <modifiedWord>（</modifiedWord>
      <trackRevisions>false</trackRevisions>
    </reviewItem>
    <reviewItem>
      <errorID>790e88b7-0430-4529-a380-7c2ec392773e</errorID>
      <errorWord>)</errorWord>
      <group>L1_Format</group>
      <groupName>格式问题</groupName>
      <ability>L2_HalfPunc</ability>
      <abilityName>全半角检查</abilityName>
      <candidateList>
        <item>）</item>
      </candidateList>
      <explain>文本全半角错误。</explain>
      <paraID>33F7AADB</paraID>
      <start>132</start>
      <end>133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c411232-d11b-43e6-839c-3a53c54d09d4}">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1264</Words>
  <Characters>1281</Characters>
  <Lines>0</Lines>
  <Paragraphs>0</Paragraphs>
  <TotalTime>11</TotalTime>
  <ScaleCrop>false</ScaleCrop>
  <LinksUpToDate>false</LinksUpToDate>
  <CharactersWithSpaces>1286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2026-01-07T01:39:00Z</dcterms:created>
  <dc:creator>13607600496</dc:creator>
  <cp:lastModifiedBy>啊F的小蝴蝶</cp:lastModifiedBy>
  <cp:lastPrinted>2026-01-07T02:01:00Z</cp:lastPrinted>
  <dcterms:modified xsi:type="dcterms:W3CDTF">2026-01-23T03:15:54Z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8C09D3E9D9F644419149647D83613403_13</vt:lpwstr>
  </property>
  <property fmtid="{D5CDD505-2E9C-101B-9397-08002B2CF9AE}" pid="4" name="KSOTemplateDocerSaveRecord">
    <vt:lpwstr>eyJoZGlkIjoiNzJmZTU5YWQ2YjVhNzJhOTYxMjM2Y2U3NjhiMGM4YjUiLCJ1c2VySWQiOiI0OTI0NDY1OTcifQ==</vt:lpwstr>
  </property>
</Properties>
</file>