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淮滨县财政局2025年政府信息公开工作年度报告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 年，淮滨县财政局稳步推进政府信息主动公开工作，全年累计完成 21条各类相关信息的更新与发布，为公众及时知晓财政领域相关动态提供了有效支撑。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 年度内，淮滨县财政局未收到任何来自单位或个人的政府信息公开申请。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政府信息管理工作严格遵循 “谁公开、谁担责” 的原则，明确了信息公开的完整审批流程，清晰划分了操作人员与审批人员的具体职责和权限范围。同时，强化对拟上网信息的保密审查力度，构建全方位的保密管理体系，坚决防范涉密信息违规上网的情况发生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 年，在区政府信息公开领导小组的指导引领下，淮滨县财政局持续完善政府信息公开业务平台建设，切实筑牢政府网站意识形态安全屏障。专门指派工作人员负责本单位网站栏目的日常运维管理，全面开展各类政府信息的收集、梳理与发布工作，保障政务信息公开的时效性与精准度。此外，搭建高效便捷的政务服务通道，及时回应并处理公众的意见建议，持续规范信息管理流程与平台运营标准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始终坚守主动公开与依申请公开并行的工作原则，严格执行信息公开审核制度、保密管理制度及责任追究制度。主动接受上级主管部门和社会公众的监督，通过多样化方式提升相关工作人员的业务素养与综合能力。将信息公开工作纳入年度目标考核范畴，层层落实工作责任，确保决策、执行、管理、服务及结果等各环节全程公开透明，推动各项工作任务高效落地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（一）存在的主要问题</w:t>
      </w:r>
    </w:p>
    <w:p>
      <w:pPr>
        <w:widowControl/>
        <w:shd w:val="clear" w:color="auto" w:fill="FFFFFF"/>
        <w:ind w:firstLine="480"/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</w:pPr>
      <w:r>
        <w:t>当前，信息公开工作队伍建设薄弱，工作人员专业能力和业务水平，未能匹配新时期工作高质量发展的要求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（二）改进情况</w:t>
      </w:r>
    </w:p>
    <w:p>
      <w:pPr>
        <w:widowControl/>
        <w:shd w:val="clear" w:color="auto" w:fill="FFFFFF"/>
        <w:ind w:firstLine="480"/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</w:pPr>
      <w:r>
        <w:t>淮滨县财政局将加大培训投入，多举措提升人员业务素养；组织学习信息公开政策法规，强化主动公开责任意识，提升实操能力，夯实工作开展基础</w:t>
      </w:r>
      <w:r>
        <w:rPr>
          <w:rFonts w:hint="eastAsia"/>
          <w:lang w:eastAsia="zh-CN"/>
        </w:rPr>
        <w:t>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</w:pPr>
      <w:r>
        <w:t>2025年未收取政府信息处理费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21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2026-01-21T08:38:36Z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95A5C8E280B94F7FBC08923569403FE2_13</vt:lpwstr>
  </property>
</Properties>
</file>