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rPr>
          <w:rFonts w:ascii="宋体" w:hAnsi="宋体" w:eastAsia="宋体" w:cs="宋体"/>
          <w:b/>
          <w:bCs/>
          <w:color w:val="333333"/>
          <w:kern w:val="0"/>
          <w:sz w:val="24"/>
          <w:szCs w:val="24"/>
        </w:rPr>
      </w:pPr>
    </w:p>
    <w:p>
      <w:pPr>
        <w:widowControl/>
        <w:shd w:val="clear" w:color="auto" w:fill="FFFFFF"/>
        <w:jc w:val="center"/>
        <w:rPr>
          <w:rFonts w:ascii="宋体" w:hAnsi="宋体" w:eastAsia="宋体" w:cs="宋体"/>
          <w:color w:val="333333"/>
          <w:kern w:val="0"/>
          <w:sz w:val="24"/>
          <w:szCs w:val="24"/>
        </w:rPr>
      </w:pPr>
      <w:r>
        <w:rPr>
          <w:rFonts w:ascii="宋体" w:hAnsi="宋体" w:eastAsia="宋体" w:cs="宋体"/>
          <w:b/>
          <w:bCs/>
          <w:color w:val="333333"/>
          <w:kern w:val="0"/>
          <w:sz w:val="36"/>
          <w:szCs w:val="36"/>
        </w:rPr>
        <w:t>淮滨县桂花街道办事处2025年政府信息公开工作年度报告</w:t>
      </w: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color w:val="333333"/>
          <w:kern w:val="0"/>
          <w:sz w:val="24"/>
          <w:szCs w:val="24"/>
        </w:rPr>
      </w:pPr>
      <w:r>
        <w:rPr>
          <w:rFonts w:ascii="宋体" w:hAnsi="宋体" w:cs="宋体"/>
          <w:b/>
          <w:bCs/>
          <w:color w:val="333333"/>
          <w:kern w:val="0"/>
          <w:sz w:val="24"/>
          <w:szCs w:val="24"/>
        </w:rPr>
        <w:t>一、总体情况</w:t>
      </w:r>
    </w:p>
    <w:p>
      <w:pPr>
        <w:widowControl/>
        <w:shd w:val="clear" w:color="auto" w:fill="FFFFFF"/>
        <w:ind w:firstLine="480"/>
        <w:rPr>
          <w:rFonts w:ascii="宋体" w:hAnsi="宋体" w:eastAsia="宋体" w:cs="宋体"/>
          <w:color w:val="333333"/>
          <w:kern w:val="0"/>
          <w:sz w:val="24"/>
          <w:szCs w:val="24"/>
        </w:rPr>
      </w:pPr>
      <w:r>
        <w:t>2025年，桂花街道办事处严格按照《条例》和国家政务公开工作要点及河南省人民政府政务公开重点工作安排，按照聚焦主题、简明客观的要求，不断加大公开力度、提升公开实效，按照上级政府的统一部署，充分认清政府信息公开工作的重要意义，切实把政府信息公开工作作为加强自身建设和密切联系群众重要途径和窗口来建设，完成了全年政府信息公开工作。</w:t>
      </w:r>
    </w:p>
    <w:p>
      <w:pPr>
        <w:widowControl/>
        <w:shd w:val="clear" w:color="auto" w:fill="FFFFFF"/>
        <w:ind w:firstLine="480"/>
        <w:rPr>
          <w:rFonts w:ascii="宋体" w:hAnsi="宋体" w:eastAsia="宋体" w:cs="宋体"/>
          <w:color w:val="333333"/>
          <w:kern w:val="0"/>
          <w:sz w:val="24"/>
          <w:szCs w:val="24"/>
        </w:rPr>
      </w:pPr>
      <w:r>
        <w:t>（一）主动公开。桂花办事处严格遵循规范化、标准化原则，对公开内容进行策划优化，确保信息条理清晰、通俗易懂，便于公众实时掌握政府动态。2025年，办事处主动依托淮滨县人民政府信息公开平台方式及时发布重点工作开展动态、工作亮点及成效等共 23条信息，涵盖城市建设、安全生产、环境保护等多个方面，有效增强政府工作的透明度，保障公众知情权，民众与政府间的关系愈加紧密，呈现出深度交融、协同共进的良好态势。</w:t>
      </w:r>
    </w:p>
    <w:p>
      <w:pPr>
        <w:widowControl/>
        <w:shd w:val="clear" w:color="auto" w:fill="FFFFFF"/>
        <w:ind w:firstLine="480"/>
        <w:rPr>
          <w:rFonts w:ascii="宋体" w:hAnsi="宋体" w:eastAsia="宋体" w:cs="宋体"/>
          <w:color w:val="333333"/>
          <w:kern w:val="0"/>
          <w:sz w:val="24"/>
          <w:szCs w:val="24"/>
        </w:rPr>
      </w:pPr>
      <w:r>
        <w:t>（二）依申请公开情况。根据《中华人民共和国政府信息公开条例》第十条</w:t>
      </w:r>
      <w:r>
        <w:rPr>
          <w:rFonts w:hint="eastAsia"/>
          <w:lang w:eastAsia="zh-CN"/>
        </w:rPr>
        <w:t>：</w:t>
      </w:r>
      <w:r>
        <w:t>行政机关制作的政府信息，由制作该政府信息的行政机关负责公开。本年共计收到1条政府信息公开申请，街道已通过电话及政府信息公开申请答复书（2025年第1号）告知申请人。</w:t>
      </w:r>
    </w:p>
    <w:p>
      <w:pPr>
        <w:widowControl/>
        <w:shd w:val="clear" w:color="auto" w:fill="FFFFFF"/>
        <w:ind w:firstLine="480"/>
        <w:rPr>
          <w:rFonts w:ascii="宋体" w:hAnsi="宋体" w:eastAsia="宋体" w:cs="宋体"/>
          <w:color w:val="333333"/>
          <w:kern w:val="0"/>
          <w:sz w:val="24"/>
          <w:szCs w:val="24"/>
        </w:rPr>
      </w:pPr>
      <w:r>
        <w:t>（三）政府信息管理。桂花街道根据法律、法规、规章关于主动公开信息的规定，分层级分领域梳理确定法定公开事项，逐项明确公开主体、方式、渠道、责任等要素，形成主动公开事项目录，并实行清单化管理。街道党政综合办公室指定专人负责该项工作，严格按照《中华人民共和国政府信息公开条例》要求，落实《信息公开保密审查工作制度》，规范政府网站信息发布期限，加强已公开政府信息管理，动态清理过时、失效信息，不断提升政府</w:t>
      </w:r>
      <w:bookmarkStart w:id="0" w:name="_GoBack"/>
      <w:bookmarkEnd w:id="0"/>
      <w:r>
        <w:t>信息供给的有效性。本年未制发行政规范性文件。</w:t>
      </w:r>
    </w:p>
    <w:p>
      <w:pPr>
        <w:widowControl/>
        <w:shd w:val="clear" w:color="auto" w:fill="FFFFFF"/>
        <w:ind w:firstLine="480"/>
        <w:rPr>
          <w:rFonts w:ascii="宋体" w:hAnsi="宋体" w:eastAsia="宋体" w:cs="宋体"/>
          <w:color w:val="333333"/>
          <w:kern w:val="0"/>
          <w:sz w:val="24"/>
          <w:szCs w:val="24"/>
        </w:rPr>
      </w:pPr>
      <w:r>
        <w:t>（四）政府信息公开平台建设。街道不断创新政务公开的新载体、新形式，使政务公开的形式呈现灵活多样。充分发挥政府门户网站信息公开栏的作用，统一集中公开信息，及时推送公开政府工作动态、政务信息；标准化、规范化管理政府公开网站，完善政府信息查询、政策咨询窗口、制定相关工作机制。</w:t>
      </w:r>
    </w:p>
    <w:p>
      <w:pPr>
        <w:widowControl/>
        <w:shd w:val="clear" w:color="auto" w:fill="FFFFFF"/>
        <w:ind w:firstLine="480"/>
        <w:rPr>
          <w:rFonts w:ascii="宋体" w:hAnsi="宋体" w:eastAsia="宋体" w:cs="宋体"/>
          <w:color w:val="333333"/>
          <w:kern w:val="0"/>
          <w:sz w:val="24"/>
          <w:szCs w:val="24"/>
        </w:rPr>
      </w:pPr>
      <w:r>
        <w:t>（五）监督保障。街道党工委、党政综合办公室和监察室加强对各部门、站所的政府信息公开工作进行日常指导和监督检查，对于未按要求开展政府信息公开工作的部门，督促及时整改，切实提高政务公开质量。常态化开展法定主动公开、基层政务公开、政策解读、依申请公开监督提醒。</w:t>
      </w:r>
    </w:p>
    <w:p>
      <w:pPr>
        <w:widowControl/>
        <w:shd w:val="clear" w:color="auto" w:fill="FFFFFF"/>
        <w:ind w:firstLine="480"/>
        <w:rPr>
          <w:rFonts w:ascii="宋体" w:hAnsi="宋体" w:eastAsia="宋体" w:cs="宋体"/>
          <w:color w:val="333333"/>
          <w:kern w:val="0"/>
          <w:sz w:val="24"/>
          <w:szCs w:val="24"/>
        </w:rPr>
      </w:pPr>
    </w:p>
    <w:p>
      <w:pPr>
        <w:pageBreakBefore/>
        <w:widowControl/>
        <w:shd w:val="clear" w:color="auto" w:fill="FFFFFF"/>
        <w:ind w:firstLine="480"/>
        <w:rPr>
          <w:rFonts w:ascii="宋体" w:hAnsi="宋体" w:eastAsia="宋体" w:cs="宋体"/>
          <w:color w:val="333333"/>
          <w:kern w:val="0"/>
          <w:sz w:val="24"/>
          <w:szCs w:val="24"/>
        </w:rPr>
      </w:pPr>
      <w:r>
        <w:rPr>
          <w:rFonts w:ascii="宋体" w:hAnsi="宋体" w:cs="宋体"/>
          <w:b/>
          <w:bCs/>
          <w:color w:val="333333"/>
          <w:kern w:val="0"/>
          <w:sz w:val="24"/>
          <w:szCs w:val="24"/>
        </w:rPr>
        <w:t>二、主动公开政府信息情况</w:t>
      </w:r>
    </w:p>
    <w:p>
      <w:pPr>
        <w:widowControl/>
        <w:shd w:val="clear" w:color="auto" w:fill="FFFFFF"/>
        <w:ind w:firstLine="480"/>
        <w:rPr>
          <w:rFonts w:ascii="宋体" w:hAnsi="宋体" w:eastAsia="宋体" w:cs="宋体"/>
          <w:color w:val="333333"/>
          <w:kern w:val="0"/>
          <w:sz w:val="24"/>
          <w:szCs w:val="24"/>
        </w:rPr>
      </w:pPr>
    </w:p>
    <w:tbl>
      <w:tblPr>
        <w:tblStyle w:val="6"/>
        <w:tblW w:w="9740" w:type="dxa"/>
        <w:jc w:val="center"/>
        <w:tblLayout w:type="fixed"/>
        <w:tblCellMar>
          <w:top w:w="0" w:type="dxa"/>
          <w:left w:w="57" w:type="dxa"/>
          <w:bottom w:w="0" w:type="dxa"/>
          <w:right w:w="57" w:type="dxa"/>
        </w:tblCellMar>
      </w:tblPr>
      <w:tblGrid>
        <w:gridCol w:w="2436"/>
        <w:gridCol w:w="2435"/>
        <w:gridCol w:w="2435"/>
        <w:gridCol w:w="2434"/>
      </w:tblGrid>
      <w:tr>
        <w:tblPrEx>
          <w:tblCellMar>
            <w:top w:w="0" w:type="dxa"/>
            <w:left w:w="57" w:type="dxa"/>
            <w:bottom w:w="0" w:type="dxa"/>
            <w:right w:w="57" w:type="dxa"/>
          </w:tblCellMar>
        </w:tblPrEx>
        <w:trPr>
          <w:trHeight w:val="340" w:hRule="atLeast"/>
          <w:jc w:val="center"/>
        </w:trPr>
        <w:tc>
          <w:tcPr>
            <w:tcW w:w="9739" w:type="dxa"/>
            <w:gridSpan w:val="4"/>
            <w:tcBorders>
              <w:top w:val="single" w:color="000000" w:sz="8" w:space="0"/>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第二十条第（一）项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2435"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w:t>
            </w:r>
            <w:r>
              <w:rPr>
                <w:rFonts w:ascii="宋体" w:hAnsi="宋体" w:cs="Calibri"/>
                <w:kern w:val="0"/>
                <w:sz w:val="20"/>
                <w:szCs w:val="20"/>
              </w:rPr>
              <w:t>制</w:t>
            </w:r>
            <w:r>
              <w:rPr>
                <w:rFonts w:ascii="宋体" w:hAnsi="宋体" w:cs="宋体"/>
                <w:kern w:val="0"/>
                <w:sz w:val="20"/>
                <w:szCs w:val="20"/>
              </w:rPr>
              <w:t>发件</w:t>
            </w:r>
            <w:r>
              <w:rPr>
                <w:rFonts w:ascii="宋体" w:hAnsi="宋体" w:cs="Calibri"/>
                <w:kern w:val="0"/>
                <w:sz w:val="20"/>
                <w:szCs w:val="20"/>
              </w:rPr>
              <w:t>数</w:t>
            </w:r>
          </w:p>
        </w:tc>
        <w:tc>
          <w:tcPr>
            <w:tcW w:w="2435"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本年废止件数</w:t>
            </w:r>
          </w:p>
        </w:tc>
        <w:tc>
          <w:tcPr>
            <w:tcW w:w="2434"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现行有效件</w:t>
            </w:r>
            <w:r>
              <w:rPr>
                <w:rFonts w:ascii="宋体" w:hAnsi="宋体" w:cs="Calibri"/>
                <w:kern w:val="0"/>
                <w:sz w:val="20"/>
                <w:szCs w:val="20"/>
              </w:rPr>
              <w:t>数</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规章</w:t>
            </w:r>
          </w:p>
        </w:tc>
        <w:tc>
          <w:tcPr>
            <w:tcW w:w="2435" w:type="dxa"/>
            <w:tcBorders>
              <w:bottom w:val="single" w:color="000000" w:sz="8" w:space="0"/>
              <w:right w:val="single" w:color="000000" w:sz="8" w:space="0"/>
            </w:tcBorders>
            <w:vAlign w:val="center"/>
          </w:tcPr>
          <w:p>
            <w:r>
              <w:t>0</w:t>
            </w:r>
          </w:p>
        </w:tc>
        <w:tc>
          <w:tcPr>
            <w:tcW w:w="2435" w:type="dxa"/>
            <w:tcBorders>
              <w:bottom w:val="single" w:color="000000" w:sz="8" w:space="0"/>
              <w:right w:val="single" w:color="000000" w:sz="8" w:space="0"/>
            </w:tcBorders>
            <w:vAlign w:val="center"/>
          </w:tcPr>
          <w:p>
            <w:r>
              <w:t>0</w:t>
            </w:r>
          </w:p>
        </w:tc>
        <w:tc>
          <w:tcPr>
            <w:tcW w:w="2434" w:type="dxa"/>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行政规范性文件</w:t>
            </w:r>
          </w:p>
        </w:tc>
        <w:tc>
          <w:tcPr>
            <w:tcW w:w="2435" w:type="dxa"/>
            <w:tcBorders>
              <w:bottom w:val="single" w:color="000000" w:sz="8" w:space="0"/>
              <w:right w:val="single" w:color="000000" w:sz="8" w:space="0"/>
            </w:tcBorders>
            <w:vAlign w:val="center"/>
          </w:tcPr>
          <w:p>
            <w:r>
              <w:t>0</w:t>
            </w:r>
          </w:p>
        </w:tc>
        <w:tc>
          <w:tcPr>
            <w:tcW w:w="2435" w:type="dxa"/>
            <w:tcBorders>
              <w:bottom w:val="single" w:color="000000" w:sz="8" w:space="0"/>
              <w:right w:val="single" w:color="000000" w:sz="8" w:space="0"/>
            </w:tcBorders>
            <w:vAlign w:val="center"/>
          </w:tcPr>
          <w:p>
            <w:r>
              <w:t>0</w:t>
            </w:r>
          </w:p>
        </w:tc>
        <w:tc>
          <w:tcPr>
            <w:tcW w:w="2434" w:type="dxa"/>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第二十条第（五）项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本年处理决定数量</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行政许可</w:t>
            </w:r>
          </w:p>
        </w:tc>
        <w:tc>
          <w:tcPr>
            <w:tcW w:w="7304" w:type="dxa"/>
            <w:gridSpan w:val="3"/>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第二十条第（六）项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本年处理决定数量</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行政处罚</w:t>
            </w:r>
          </w:p>
        </w:tc>
        <w:tc>
          <w:tcPr>
            <w:tcW w:w="7304" w:type="dxa"/>
            <w:gridSpan w:val="3"/>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行政强制</w:t>
            </w:r>
          </w:p>
        </w:tc>
        <w:tc>
          <w:tcPr>
            <w:tcW w:w="7304" w:type="dxa"/>
            <w:gridSpan w:val="3"/>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第二十条第（八）项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本年收费金额（单位：万元）</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行政事业性收费</w:t>
            </w:r>
          </w:p>
        </w:tc>
        <w:tc>
          <w:tcPr>
            <w:tcW w:w="7304" w:type="dxa"/>
            <w:gridSpan w:val="3"/>
            <w:tcBorders>
              <w:bottom w:val="single" w:color="000000" w:sz="8" w:space="0"/>
              <w:right w:val="single" w:color="000000" w:sz="8" w:space="0"/>
            </w:tcBorders>
            <w:vAlign w:val="center"/>
          </w:tcPr>
          <w:p>
            <w:r>
              <w:t>0</w:t>
            </w:r>
          </w:p>
        </w:tc>
      </w:tr>
    </w:tbl>
    <w:p>
      <w:pPr>
        <w:widowControl/>
        <w:ind w:firstLine="482"/>
        <w:jc w:val="left"/>
        <w:rPr>
          <w:rFonts w:ascii="宋体" w:hAnsi="宋体" w:eastAsia="宋体" w:cs="宋体"/>
          <w:b/>
          <w:bCs/>
          <w:color w:val="333333"/>
          <w:kern w:val="0"/>
          <w:sz w:val="24"/>
          <w:szCs w:val="24"/>
        </w:rPr>
      </w:pPr>
      <w:r>
        <w:br w:type="page"/>
      </w:r>
      <w:r>
        <w:rPr>
          <w:rFonts w:ascii="宋体" w:hAnsi="宋体" w:cs="宋体"/>
          <w:b/>
          <w:bCs/>
          <w:color w:val="333333"/>
          <w:kern w:val="0"/>
          <w:sz w:val="24"/>
          <w:szCs w:val="24"/>
        </w:rPr>
        <w:t>三、收到和处理政府信息公开申请情况</w:t>
      </w:r>
    </w:p>
    <w:p>
      <w:pPr>
        <w:widowControl/>
        <w:shd w:val="clear" w:color="auto" w:fill="FFFFFF"/>
        <w:ind w:firstLine="480"/>
        <w:rPr>
          <w:rFonts w:ascii="宋体" w:hAnsi="宋体" w:eastAsia="宋体" w:cs="宋体"/>
          <w:color w:val="333333"/>
          <w:kern w:val="0"/>
          <w:sz w:val="24"/>
          <w:szCs w:val="24"/>
        </w:rPr>
      </w:pPr>
    </w:p>
    <w:tbl>
      <w:tblPr>
        <w:tblStyle w:val="6"/>
        <w:tblW w:w="974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70"/>
        <w:gridCol w:w="942"/>
        <w:gridCol w:w="3220"/>
        <w:gridCol w:w="688"/>
        <w:gridCol w:w="688"/>
        <w:gridCol w:w="689"/>
        <w:gridCol w:w="688"/>
        <w:gridCol w:w="687"/>
        <w:gridCol w:w="688"/>
        <w:gridCol w:w="68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restart"/>
            <w:tcBorders>
              <w:right w:val="single" w:color="000000" w:sz="8" w:space="0"/>
            </w:tcBorders>
            <w:vAlign w:val="center"/>
          </w:tcPr>
          <w:p>
            <w:pPr>
              <w:widowControl/>
              <w:jc w:val="left"/>
              <w:rPr>
                <w:rFonts w:ascii="宋体" w:hAnsi="宋体" w:eastAsia="宋体" w:cs="宋体"/>
                <w:kern w:val="0"/>
                <w:sz w:val="24"/>
                <w:szCs w:val="24"/>
              </w:rPr>
            </w:pPr>
            <w:r>
              <w:rPr>
                <w:rFonts w:ascii="楷体" w:hAnsi="楷体" w:eastAsia="楷体" w:cs="宋体"/>
                <w:kern w:val="0"/>
                <w:sz w:val="20"/>
                <w:szCs w:val="20"/>
              </w:rPr>
              <w:t>（本列数据的勾稽关系为：第一项加第二项之和，等于第三项加第四项之和）</w:t>
            </w:r>
          </w:p>
        </w:tc>
        <w:tc>
          <w:tcPr>
            <w:tcW w:w="4816" w:type="dxa"/>
            <w:gridSpan w:val="7"/>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申请人情况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continue"/>
            <w:tcMar>
              <w:left w:w="10" w:type="dxa"/>
              <w:right w:w="10" w:type="dxa"/>
            </w:tcMar>
            <w:vAlign w:val="center"/>
          </w:tcPr>
          <w:p>
            <w:pPr>
              <w:widowControl/>
              <w:jc w:val="left"/>
              <w:rPr>
                <w:rFonts w:ascii="宋体" w:hAnsi="宋体" w:eastAsia="宋体" w:cs="宋体"/>
                <w:kern w:val="0"/>
                <w:sz w:val="24"/>
                <w:szCs w:val="24"/>
              </w:rPr>
            </w:pPr>
          </w:p>
        </w:tc>
        <w:tc>
          <w:tcPr>
            <w:tcW w:w="688" w:type="dxa"/>
            <w:vMerge w:val="restart"/>
            <w:tcBorders>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自然人</w:t>
            </w:r>
          </w:p>
        </w:tc>
        <w:tc>
          <w:tcPr>
            <w:tcW w:w="3440" w:type="dxa"/>
            <w:gridSpan w:val="5"/>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法人或其他组织</w:t>
            </w:r>
          </w:p>
        </w:tc>
        <w:tc>
          <w:tcPr>
            <w:tcW w:w="688" w:type="dxa"/>
            <w:vMerge w:val="restart"/>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continue"/>
            <w:tcMar>
              <w:left w:w="10" w:type="dxa"/>
              <w:right w:w="10" w:type="dxa"/>
            </w:tcMar>
            <w:vAlign w:val="center"/>
          </w:tcPr>
          <w:p>
            <w:pPr>
              <w:widowControl/>
              <w:jc w:val="left"/>
              <w:rPr>
                <w:rFonts w:ascii="宋体" w:hAnsi="宋体" w:eastAsia="宋体" w:cs="宋体"/>
                <w:kern w:val="0"/>
                <w:sz w:val="24"/>
                <w:szCs w:val="24"/>
              </w:rPr>
            </w:pPr>
          </w:p>
        </w:tc>
        <w:tc>
          <w:tcPr>
            <w:tcW w:w="688" w:type="dxa"/>
            <w:vMerge w:val="continue"/>
            <w:tcBorders>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商业</w:t>
            </w:r>
          </w:p>
          <w:p>
            <w:pPr>
              <w:widowControl/>
              <w:jc w:val="center"/>
              <w:rPr>
                <w:rFonts w:ascii="宋体" w:hAnsi="宋体" w:eastAsia="宋体" w:cs="宋体"/>
                <w:kern w:val="0"/>
                <w:sz w:val="24"/>
                <w:szCs w:val="24"/>
              </w:rPr>
            </w:pPr>
            <w:r>
              <w:rPr>
                <w:rFonts w:ascii="宋体" w:hAnsi="宋体" w:cs="宋体"/>
                <w:kern w:val="0"/>
                <w:sz w:val="20"/>
                <w:szCs w:val="20"/>
              </w:rPr>
              <w:t>企业</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科研</w:t>
            </w:r>
          </w:p>
          <w:p>
            <w:pPr>
              <w:widowControl/>
              <w:jc w:val="center"/>
              <w:rPr>
                <w:rFonts w:ascii="宋体" w:hAnsi="宋体" w:eastAsia="宋体" w:cs="宋体"/>
                <w:kern w:val="0"/>
                <w:sz w:val="24"/>
                <w:szCs w:val="24"/>
              </w:rPr>
            </w:pPr>
            <w:r>
              <w:rPr>
                <w:rFonts w:ascii="宋体" w:hAnsi="宋体" w:cs="宋体"/>
                <w:kern w:val="0"/>
                <w:sz w:val="20"/>
                <w:szCs w:val="20"/>
              </w:rPr>
              <w:t>机构</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社会公益组织</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法律服务机构</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p>
        </w:tc>
        <w:tc>
          <w:tcPr>
            <w:tcW w:w="688"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一、本年新收政府信息公开申请数量</w:t>
            </w:r>
          </w:p>
        </w:tc>
        <w:tc>
          <w:tcPr>
            <w:tcW w:w="688" w:type="dxa"/>
            <w:tcBorders>
              <w:right w:val="single" w:color="000000" w:sz="8" w:space="0"/>
            </w:tcBorders>
            <w:tcMar>
              <w:left w:w="57" w:type="dxa"/>
              <w:right w:w="57" w:type="dxa"/>
            </w:tcMar>
            <w:vAlign w:val="center"/>
          </w:tcPr>
          <w:p>
            <w:r>
              <w:t>1</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二、上年结转政府信息公开申请数量</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三、本年度办理结果</w:t>
            </w: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（一）予以公开</w:t>
            </w:r>
          </w:p>
        </w:tc>
        <w:tc>
          <w:tcPr>
            <w:tcW w:w="688" w:type="dxa"/>
            <w:tcBorders>
              <w:right w:val="single" w:color="000000" w:sz="8" w:space="0"/>
            </w:tcBorders>
            <w:tcMar>
              <w:left w:w="57" w:type="dxa"/>
              <w:right w:w="57" w:type="dxa"/>
            </w:tcMar>
            <w:vAlign w:val="center"/>
          </w:tcPr>
          <w:p>
            <w:r>
              <w:t>1</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（二）部分公开</w:t>
            </w:r>
            <w:r>
              <w:rPr>
                <w:rFonts w:ascii="楷体" w:hAnsi="楷体" w:eastAsia="楷体" w:cs="宋体"/>
                <w:kern w:val="0"/>
                <w:sz w:val="20"/>
                <w:szCs w:val="20"/>
              </w:rPr>
              <w:t>（区分处理的，只计这一情形，不计其他情形）</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（三）不予公开</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属于国家秘密</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其他法律行政法规禁止公开</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危及“三安全一稳定”</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4.</w:t>
            </w:r>
            <w:r>
              <w:rPr>
                <w:rFonts w:ascii="宋体" w:hAnsi="宋体" w:cs="宋体"/>
                <w:kern w:val="0"/>
                <w:sz w:val="20"/>
                <w:szCs w:val="20"/>
              </w:rPr>
              <w:t>保护第三方合法权益</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5.</w:t>
            </w:r>
            <w:r>
              <w:rPr>
                <w:rFonts w:ascii="宋体" w:hAnsi="宋体" w:cs="宋体"/>
                <w:kern w:val="0"/>
                <w:sz w:val="20"/>
                <w:szCs w:val="20"/>
              </w:rPr>
              <w:t>属于三类内部事务信息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6.</w:t>
            </w:r>
            <w:r>
              <w:rPr>
                <w:rFonts w:ascii="宋体" w:hAnsi="宋体" w:cs="宋体"/>
                <w:kern w:val="0"/>
                <w:sz w:val="20"/>
                <w:szCs w:val="20"/>
              </w:rPr>
              <w:t>属于四类过程性信息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7.</w:t>
            </w:r>
            <w:r>
              <w:rPr>
                <w:rFonts w:ascii="宋体" w:hAnsi="宋体" w:cs="宋体"/>
                <w:kern w:val="0"/>
                <w:sz w:val="20"/>
                <w:szCs w:val="20"/>
              </w:rPr>
              <w:t>属于行政执法案卷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8.</w:t>
            </w:r>
            <w:r>
              <w:rPr>
                <w:rFonts w:ascii="宋体" w:hAnsi="宋体" w:cs="宋体"/>
                <w:kern w:val="0"/>
                <w:sz w:val="20"/>
                <w:szCs w:val="20"/>
              </w:rPr>
              <w:t>属于行政查询事项</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（四）无法提供</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本机关不掌握相关政府信息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没有现成信息需要另行制作</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补正后申请内容仍不明确</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（五）不予处理</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信访举报投诉类申请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重复申请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要求提供公开出版物</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4.</w:t>
            </w:r>
            <w:r>
              <w:rPr>
                <w:rFonts w:ascii="宋体" w:hAnsi="宋体" w:cs="宋体"/>
                <w:kern w:val="0"/>
                <w:sz w:val="20"/>
                <w:szCs w:val="20"/>
              </w:rPr>
              <w:t>无正当理由大量反复申请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9" w:hRule="atLeast"/>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5.</w:t>
            </w:r>
            <w:r>
              <w:rPr>
                <w:rFonts w:ascii="宋体" w:hAnsi="宋体" w:cs="宋体"/>
                <w:kern w:val="0"/>
                <w:sz w:val="20"/>
                <w:szCs w:val="20"/>
              </w:rPr>
              <w:t>要求行政机关确认或重新出具已获取信息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（六）其他处理</w:t>
            </w: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申请人无正当理由逾期不补正、行政机关不再处理其政府信息公开申请</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申请人逾期未按收费通知要求缴纳费用、行政机关不再处理其政府信息公开申请</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其他</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（七）总计</w:t>
            </w:r>
          </w:p>
        </w:tc>
        <w:tc>
          <w:tcPr>
            <w:tcW w:w="688" w:type="dxa"/>
            <w:tcBorders>
              <w:right w:val="single" w:color="000000" w:sz="8" w:space="0"/>
            </w:tcBorders>
            <w:tcMar>
              <w:left w:w="57" w:type="dxa"/>
              <w:right w:w="57" w:type="dxa"/>
            </w:tcMar>
            <w:vAlign w:val="center"/>
          </w:tcPr>
          <w:p>
            <w:r>
              <w:t>1</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四、结转下年度继续办理</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bl>
    <w:p>
      <w:pPr>
        <w:widowControl/>
        <w:ind w:firstLine="482"/>
        <w:jc w:val="left"/>
        <w:rPr>
          <w:rFonts w:ascii="宋体" w:hAnsi="宋体" w:eastAsia="宋体" w:cs="宋体"/>
          <w:b/>
          <w:bCs/>
          <w:color w:val="333333"/>
          <w:kern w:val="0"/>
          <w:sz w:val="24"/>
          <w:szCs w:val="24"/>
        </w:rPr>
      </w:pPr>
      <w:r>
        <w:br w:type="page"/>
      </w:r>
      <w:r>
        <w:rPr>
          <w:rFonts w:ascii="宋体" w:hAnsi="宋体" w:cs="宋体"/>
          <w:b/>
          <w:bCs/>
          <w:color w:val="333333"/>
          <w:kern w:val="0"/>
          <w:sz w:val="24"/>
          <w:szCs w:val="24"/>
        </w:rPr>
        <w:t>四、政府信息公开行政复议、行政诉讼情况</w:t>
      </w:r>
    </w:p>
    <w:p>
      <w:pPr>
        <w:widowControl/>
        <w:shd w:val="clear" w:color="auto" w:fill="FFFFFF"/>
        <w:ind w:firstLine="480"/>
        <w:rPr>
          <w:rFonts w:ascii="宋体" w:hAnsi="宋体" w:eastAsia="宋体" w:cs="宋体"/>
          <w:b/>
          <w:bCs/>
          <w:color w:val="333333"/>
          <w:kern w:val="0"/>
          <w:sz w:val="24"/>
          <w:szCs w:val="24"/>
        </w:rPr>
      </w:pPr>
    </w:p>
    <w:tbl>
      <w:tblPr>
        <w:tblStyle w:val="6"/>
        <w:tblW w:w="9748" w:type="dxa"/>
        <w:jc w:val="center"/>
        <w:tblLayout w:type="fixed"/>
        <w:tblCellMar>
          <w:top w:w="0" w:type="dxa"/>
          <w:left w:w="108" w:type="dxa"/>
          <w:bottom w:w="0" w:type="dxa"/>
          <w:right w:w="108" w:type="dxa"/>
        </w:tblCellMar>
      </w:tblPr>
      <w:tblGrid>
        <w:gridCol w:w="650"/>
        <w:gridCol w:w="650"/>
        <w:gridCol w:w="649"/>
        <w:gridCol w:w="650"/>
        <w:gridCol w:w="650"/>
        <w:gridCol w:w="650"/>
        <w:gridCol w:w="650"/>
        <w:gridCol w:w="649"/>
        <w:gridCol w:w="650"/>
        <w:gridCol w:w="650"/>
        <w:gridCol w:w="650"/>
        <w:gridCol w:w="650"/>
        <w:gridCol w:w="650"/>
        <w:gridCol w:w="650"/>
        <w:gridCol w:w="650"/>
      </w:tblGrid>
      <w:tr>
        <w:tblPrEx>
          <w:tblCellMar>
            <w:top w:w="0" w:type="dxa"/>
            <w:left w:w="108" w:type="dxa"/>
            <w:bottom w:w="0" w:type="dxa"/>
            <w:right w:w="108" w:type="dxa"/>
          </w:tblCellMar>
        </w:tblPrEx>
        <w:trPr>
          <w:jc w:val="center"/>
        </w:trPr>
        <w:tc>
          <w:tcPr>
            <w:tcW w:w="3249"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行政复议</w:t>
            </w:r>
          </w:p>
        </w:tc>
        <w:tc>
          <w:tcPr>
            <w:tcW w:w="6499" w:type="dxa"/>
            <w:gridSpan w:val="10"/>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行政诉讼</w:t>
            </w:r>
          </w:p>
        </w:tc>
      </w:tr>
      <w:tr>
        <w:tblPrEx>
          <w:tblCellMar>
            <w:top w:w="0" w:type="dxa"/>
            <w:left w:w="108" w:type="dxa"/>
            <w:bottom w:w="0" w:type="dxa"/>
            <w:right w:w="108" w:type="dxa"/>
          </w:tblCellMar>
        </w:tblPrEx>
        <w:trPr>
          <w:jc w:val="center"/>
        </w:trPr>
        <w:tc>
          <w:tcPr>
            <w:tcW w:w="650" w:type="dxa"/>
            <w:vMerge w:val="restart"/>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结果维持</w:t>
            </w:r>
          </w:p>
        </w:tc>
        <w:tc>
          <w:tcPr>
            <w:tcW w:w="650" w:type="dxa"/>
            <w:vMerge w:val="restart"/>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49"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r>
              <w:rPr>
                <w:rFonts w:ascii="宋体" w:hAnsi="宋体" w:eastAsia="宋体" w:cs="宋体"/>
                <w:kern w:val="0"/>
                <w:sz w:val="20"/>
                <w:szCs w:val="20"/>
              </w:rPr>
              <w:br w:type="textWrapping"/>
            </w:r>
            <w:r>
              <w:rPr>
                <w:rFonts w:ascii="宋体" w:hAnsi="宋体" w:cs="宋体"/>
                <w:kern w:val="0"/>
                <w:sz w:val="20"/>
                <w:szCs w:val="20"/>
              </w:rPr>
              <w:t>结果</w:t>
            </w:r>
          </w:p>
        </w:tc>
        <w:tc>
          <w:tcPr>
            <w:tcW w:w="65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总计</w:t>
            </w:r>
          </w:p>
        </w:tc>
        <w:tc>
          <w:tcPr>
            <w:tcW w:w="3249"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未经复议直接起诉</w:t>
            </w:r>
          </w:p>
        </w:tc>
        <w:tc>
          <w:tcPr>
            <w:tcW w:w="3250"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复议后起诉</w:t>
            </w:r>
          </w:p>
        </w:tc>
      </w:tr>
      <w:tr>
        <w:tblPrEx>
          <w:tblCellMar>
            <w:top w:w="0" w:type="dxa"/>
            <w:left w:w="108" w:type="dxa"/>
            <w:bottom w:w="0" w:type="dxa"/>
            <w:right w:w="108" w:type="dxa"/>
          </w:tblCellMar>
        </w:tblPrEx>
        <w:trPr>
          <w:jc w:val="center"/>
        </w:trPr>
        <w:tc>
          <w:tcPr>
            <w:tcW w:w="650" w:type="dxa"/>
            <w:vMerge w:val="continue"/>
            <w:tcBorders>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49"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维持</w:t>
            </w:r>
          </w:p>
        </w:tc>
        <w:tc>
          <w:tcPr>
            <w:tcW w:w="650"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49"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r>
              <w:rPr>
                <w:rFonts w:ascii="宋体" w:hAnsi="宋体" w:eastAsia="宋体" w:cs="宋体"/>
                <w:kern w:val="0"/>
                <w:sz w:val="20"/>
                <w:szCs w:val="20"/>
              </w:rPr>
              <w:br w:type="textWrapping"/>
            </w:r>
            <w:r>
              <w:rPr>
                <w:rFonts w:ascii="宋体" w:hAnsi="宋体" w:cs="宋体"/>
                <w:kern w:val="0"/>
                <w:sz w:val="20"/>
                <w:szCs w:val="20"/>
              </w:rPr>
              <w:t>结果</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总计</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维持</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其他</w:t>
            </w:r>
            <w:r>
              <w:rPr>
                <w:rFonts w:ascii="宋体" w:hAnsi="宋体" w:eastAsia="宋体" w:cs="宋体"/>
                <w:color w:val="000000"/>
                <w:kern w:val="0"/>
                <w:sz w:val="20"/>
                <w:szCs w:val="20"/>
              </w:rPr>
              <w:br w:type="textWrapping"/>
            </w:r>
            <w:r>
              <w:rPr>
                <w:rFonts w:ascii="宋体" w:hAnsi="宋体" w:cs="宋体"/>
                <w:color w:val="000000"/>
                <w:kern w:val="0"/>
                <w:sz w:val="20"/>
                <w:szCs w:val="20"/>
              </w:rPr>
              <w:t>结果</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总计</w:t>
            </w:r>
          </w:p>
        </w:tc>
      </w:tr>
      <w:tr>
        <w:tblPrEx>
          <w:tblCellMar>
            <w:top w:w="0" w:type="dxa"/>
            <w:left w:w="108" w:type="dxa"/>
            <w:bottom w:w="0" w:type="dxa"/>
            <w:right w:w="108" w:type="dxa"/>
          </w:tblCellMar>
        </w:tblPrEx>
        <w:trPr>
          <w:trHeight w:val="672" w:hRule="atLeast"/>
          <w:jc w:val="center"/>
        </w:trPr>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49"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49"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r>
    </w:tbl>
    <w:p>
      <w:pPr>
        <w:widowControl/>
        <w:jc w:val="left"/>
        <w:rPr>
          <w:rFonts w:ascii="宋体" w:hAnsi="宋体" w:eastAsia="宋体" w:cs="宋体"/>
          <w:kern w:val="0"/>
          <w:sz w:val="24"/>
          <w:szCs w:val="24"/>
        </w:rPr>
      </w:pPr>
      <w:r>
        <w:rPr>
          <w:rFonts w:ascii="宋体" w:hAnsi="宋体" w:eastAsia="宋体" w:cs="宋体"/>
          <w:color w:val="333333"/>
          <w:kern w:val="0"/>
          <w:sz w:val="24"/>
          <w:szCs w:val="24"/>
        </w:rPr>
        <w:br w:type="textWrapping"/>
      </w:r>
    </w:p>
    <w:p>
      <w:pPr>
        <w:widowControl/>
        <w:shd w:val="clear" w:color="auto" w:fill="FFFFFF"/>
        <w:ind w:firstLine="480"/>
        <w:rPr>
          <w:rFonts w:ascii="宋体" w:hAnsi="宋体" w:eastAsia="宋体" w:cs="宋体"/>
          <w:b/>
          <w:bCs/>
          <w:color w:val="333333"/>
          <w:kern w:val="0"/>
          <w:sz w:val="24"/>
          <w:szCs w:val="24"/>
        </w:rPr>
      </w:pPr>
      <w:r>
        <w:rPr>
          <w:rFonts w:ascii="宋体" w:hAnsi="宋体" w:cs="宋体"/>
          <w:b/>
          <w:bCs/>
          <w:color w:val="333333"/>
          <w:kern w:val="0"/>
          <w:sz w:val="24"/>
          <w:szCs w:val="24"/>
        </w:rPr>
        <w:t>五、存在的主要问题及改进情况</w:t>
      </w:r>
    </w:p>
    <w:p>
      <w:pPr>
        <w:widowControl/>
        <w:shd w:val="clear" w:color="auto" w:fill="FFFFFF"/>
        <w:ind w:firstLine="480"/>
        <w:rPr>
          <w:rFonts w:ascii="宋体" w:hAnsi="宋体" w:eastAsia="宋体" w:cs="宋体"/>
          <w:color w:val="333333"/>
          <w:kern w:val="0"/>
          <w:sz w:val="24"/>
          <w:szCs w:val="24"/>
        </w:rPr>
      </w:pPr>
      <w:r>
        <w:t>2025年政府信息公开工作存在不足：一是工作的专业性、系统性有待提高，政务信息公开深度不够等问题。二是信息公开形式有待拓展。信息公开形式单一，仍有部分群众不清楚获取政务信息的渠道与途径。</w:t>
      </w:r>
    </w:p>
    <w:p>
      <w:pPr>
        <w:widowControl/>
        <w:shd w:val="clear" w:color="auto" w:fill="FFFFFF"/>
        <w:ind w:firstLine="480"/>
        <w:rPr>
          <w:rFonts w:ascii="宋体" w:hAnsi="宋体" w:eastAsia="宋体" w:cs="宋体"/>
          <w:color w:val="333333"/>
          <w:kern w:val="0"/>
          <w:sz w:val="24"/>
          <w:szCs w:val="24"/>
        </w:rPr>
      </w:pPr>
      <w:r>
        <w:t>2026年政府信息公开工作改进措施：一是优化工作机制。将主动公开政府信息工作与日常业务工作紧密结合，完善政府信息公开目录，保证公开信息的完整性和准确性。同时，认真落实政策解读工作要求，提升解读效果。二是加大宣传力度。积极探索新途径，以社会关注度高、涉企涉民的政府信息作为重点，优化政府信息公开事项，及时回应公众需求。</w:t>
      </w: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b/>
          <w:bCs/>
          <w:color w:val="333333"/>
          <w:kern w:val="0"/>
          <w:sz w:val="24"/>
          <w:szCs w:val="24"/>
        </w:rPr>
      </w:pPr>
      <w:r>
        <w:rPr>
          <w:rFonts w:ascii="宋体" w:hAnsi="宋体" w:cs="宋体"/>
          <w:b/>
          <w:bCs/>
          <w:color w:val="333333"/>
          <w:kern w:val="0"/>
          <w:sz w:val="24"/>
          <w:szCs w:val="24"/>
        </w:rPr>
        <w:t>六、其他需要报告的事项</w:t>
      </w:r>
    </w:p>
    <w:p>
      <w:pPr>
        <w:widowControl/>
        <w:shd w:val="clear" w:color="auto" w:fill="FFFFFF"/>
        <w:ind w:firstLine="480"/>
        <w:jc w:val="left"/>
        <w:rPr>
          <w:rFonts w:ascii="宋体" w:hAnsi="宋体" w:eastAsia="宋体" w:cs="宋体"/>
          <w:color w:val="333333"/>
          <w:kern w:val="0"/>
          <w:sz w:val="24"/>
          <w:szCs w:val="24"/>
        </w:rPr>
      </w:pPr>
      <w:r>
        <w:t>我单位依据《政府信息公开信息处理费管理办法》，未出现因申请人在申请公开政府信息超出一定数量或者频次范围而收取信息处理费的情况。无其他需要报告的事项。</w:t>
      </w:r>
    </w:p>
    <w:sectPr>
      <w:pgSz w:w="11906" w:h="16838"/>
      <w:pgMar w:top="1440" w:right="1701" w:bottom="1440" w:left="1701" w:header="0" w:footer="0" w:gutter="0"/>
      <w:cols w:space="720" w:num="1"/>
      <w:formProt w:val="0"/>
      <w:docGrid w:type="lines" w:linePitch="312"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Liberation Sans">
    <w:altName w:val="宋体"/>
    <w:panose1 w:val="020B0604020202020204"/>
    <w:charset w:val="86"/>
    <w:family w:val="swiss"/>
    <w:pitch w:val="default"/>
    <w:sig w:usb0="00000000" w:usb1="00000000" w:usb2="00000021" w:usb3="00000000" w:csb0="000001BF" w:csb1="00000000"/>
  </w:font>
  <w:font w:name="微软雅黑">
    <w:panose1 w:val="020B0503020204020204"/>
    <w:charset w:val="86"/>
    <w:family w:val="roman"/>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autoHyphenation/>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NTI0NTU3OGVlMWViYzM4MjYxODUwNTBiMWUwY2MifQ=="/>
  </w:docVars>
  <w:rsids>
    <w:rsidRoot w:val="00C14315"/>
    <w:rsid w:val="00C14315"/>
    <w:rsid w:val="00F40211"/>
    <w:rsid w:val="00F44765"/>
    <w:rsid w:val="0EA51847"/>
    <w:rsid w:val="598558D1"/>
    <w:rsid w:val="7A057D3D"/>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caption"/>
    <w:basedOn w:val="1"/>
    <w:qFormat/>
    <w:uiPriority w:val="0"/>
    <w:pPr>
      <w:suppressLineNumbers/>
      <w:spacing w:before="120" w:after="120"/>
    </w:pPr>
    <w:rPr>
      <w:rFonts w:cs="Arial"/>
      <w:i/>
      <w:iCs/>
      <w:sz w:val="24"/>
      <w:szCs w:val="24"/>
    </w:rPr>
  </w:style>
  <w:style w:type="paragraph" w:styleId="3">
    <w:name w:val="Body Text"/>
    <w:basedOn w:val="1"/>
    <w:qFormat/>
    <w:uiPriority w:val="0"/>
    <w:pPr>
      <w:spacing w:after="140" w:line="276" w:lineRule="auto"/>
    </w:pPr>
  </w:style>
  <w:style w:type="paragraph" w:styleId="4">
    <w:name w:val="List"/>
    <w:basedOn w:val="3"/>
    <w:uiPriority w:val="0"/>
    <w:rPr>
      <w:rFonts w:cs="Arial"/>
    </w:rPr>
  </w:style>
  <w:style w:type="paragraph" w:styleId="5">
    <w:name w:val="Normal (Web)"/>
    <w:basedOn w:val="1"/>
    <w:semiHidden/>
    <w:unhideWhenUsed/>
    <w:qFormat/>
    <w:uiPriority w:val="99"/>
    <w:pPr>
      <w:widowControl/>
      <w:spacing w:beforeAutospacing="1" w:afterAutospacing="1"/>
      <w:jc w:val="left"/>
    </w:pPr>
    <w:rPr>
      <w:rFonts w:ascii="宋体" w:hAnsi="宋体" w:eastAsia="宋体" w:cs="宋体"/>
      <w:kern w:val="0"/>
      <w:sz w:val="24"/>
      <w:szCs w:val="24"/>
    </w:rPr>
  </w:style>
  <w:style w:type="paragraph" w:customStyle="1" w:styleId="8">
    <w:name w:val="标题样式"/>
    <w:basedOn w:val="1"/>
    <w:next w:val="3"/>
    <w:qFormat/>
    <w:uiPriority w:val="0"/>
    <w:pPr>
      <w:keepNext/>
      <w:spacing w:before="240" w:after="120"/>
    </w:pPr>
    <w:rPr>
      <w:rFonts w:ascii="Liberation Sans" w:hAnsi="Liberation Sans" w:eastAsia="微软雅黑" w:cs="Arial"/>
      <w:sz w:val="28"/>
      <w:szCs w:val="28"/>
    </w:rPr>
  </w:style>
  <w:style w:type="paragraph" w:customStyle="1" w:styleId="9">
    <w:name w:val="索引"/>
    <w:basedOn w:val="1"/>
    <w:qFormat/>
    <w:uiPriority w:val="0"/>
    <w:pPr>
      <w:suppressLineNumbers/>
    </w:pPr>
    <w:rPr>
      <w:rFonts w:cs="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209</Words>
  <Characters>1193</Characters>
  <Lines>9</Lines>
  <Paragraphs>2</Paragraphs>
  <TotalTime>40</TotalTime>
  <ScaleCrop>false</ScaleCrop>
  <LinksUpToDate>false</LinksUpToDate>
  <CharactersWithSpaces>1400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2021-10-21T05:34:00Z</dcterms:created>
  <dc:creator>IdeaBank</dc:creator>
  <cp:lastModifiedBy>晨曦</cp:lastModifiedBy>
  <dcterms:modified xsi:type="dcterms:W3CDTF">2026-01-22T01:42:53Z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4ABBD11990DD4185827AD52F4C31F583_13</vt:lpwstr>
  </property>
</Properties>
</file>