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淮滨县民政局2025年政府信息公开工作年度报告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依据《中华人民共和国政府信息公开条例》第五十条规定，编制本报告。</w:t>
      </w:r>
    </w:p>
    <w:p>
      <w:pPr>
        <w:widowControl/>
        <w:shd w:val="clear" w:color="auto" w:fill="FFFFFF"/>
        <w:ind w:firstLine="480"/>
        <w:rPr>
          <w:rFonts w:ascii="宋体" w:hAnsi="宋体" w:eastAsia="宋体" w:cs="宋体"/>
          <w:color w:val="333333"/>
          <w:kern w:val="0"/>
          <w:sz w:val="24"/>
          <w:szCs w:val="24"/>
        </w:rPr>
      </w:pPr>
      <w:r>
        <w:t>2025年，淮滨县民政局认真贯彻落实《中华人民共和国政府信息公开条例》，聚焦民生保障领域重点工作以及群众关切，扎实做好信息公开工作，切实提升服务效能。</w:t>
      </w:r>
    </w:p>
    <w:p>
      <w:pPr>
        <w:widowControl/>
        <w:shd w:val="clear" w:color="auto" w:fill="FFFFFF"/>
        <w:ind w:firstLine="480"/>
        <w:rPr>
          <w:rFonts w:ascii="宋体" w:hAnsi="宋体" w:eastAsia="宋体" w:cs="宋体"/>
          <w:color w:val="333333"/>
          <w:kern w:val="0"/>
          <w:sz w:val="24"/>
          <w:szCs w:val="24"/>
        </w:rPr>
      </w:pPr>
      <w:r>
        <w:t>一是强化组织领导，巩固完善领导协调机制。由分管副局长任组长，办公室牵头组织机关各股室研究、协调政府信息公开工作过程中的重要事项并对政府信息公开工作进行统筹协调和管理监督，各司其职，确保工作顺利完成。</w:t>
      </w:r>
    </w:p>
    <w:p>
      <w:pPr>
        <w:widowControl/>
        <w:shd w:val="clear" w:color="auto" w:fill="FFFFFF"/>
        <w:ind w:firstLine="480"/>
        <w:rPr>
          <w:rFonts w:ascii="宋体" w:hAnsi="宋体" w:eastAsia="宋体" w:cs="宋体"/>
          <w:color w:val="333333"/>
          <w:kern w:val="0"/>
          <w:sz w:val="24"/>
          <w:szCs w:val="24"/>
        </w:rPr>
      </w:pPr>
      <w:r>
        <w:t>二是提高主动公开时效，聚焦重点领域公开。对照《县民政局政务公开全清单》，及时公开行政许可、行政处罚信息。持续推进养老服务体系、社会救助领域信息公开，及时公开养老服务相关政策信息及业务活动信息，及时公开全县城市低保、城市特困、临时救助等困难群众资金支出情况。</w:t>
      </w:r>
    </w:p>
    <w:p>
      <w:pPr>
        <w:widowControl/>
        <w:shd w:val="clear" w:color="auto" w:fill="FFFFFF"/>
        <w:ind w:firstLine="480"/>
        <w:rPr>
          <w:rFonts w:ascii="宋体" w:hAnsi="宋体" w:eastAsia="宋体" w:cs="宋体"/>
          <w:color w:val="333333"/>
          <w:kern w:val="0"/>
          <w:sz w:val="24"/>
          <w:szCs w:val="24"/>
        </w:rPr>
      </w:pPr>
      <w:r>
        <w:t>三是规范依申请公开，畅通沟通渠道。及时更新政府信息公开指南，办理地址等要素均齐全。安排专人负责依申请公开工作，主动沟通，强化日常检查，确保信函、网络申请渠道和咨询电话畅通。</w:t>
      </w:r>
    </w:p>
    <w:p>
      <w:pPr>
        <w:widowControl/>
        <w:shd w:val="clear" w:color="auto" w:fill="FFFFFF"/>
        <w:ind w:firstLine="480"/>
        <w:rPr>
          <w:rFonts w:ascii="宋体" w:hAnsi="宋体" w:eastAsia="宋体" w:cs="宋体"/>
          <w:color w:val="333333"/>
          <w:kern w:val="0"/>
          <w:sz w:val="24"/>
          <w:szCs w:val="24"/>
        </w:rPr>
      </w:pPr>
      <w:r>
        <w:t>四是严格政府信息管理，加强保密审查。做好公文公开属性源头管理，从公开属性、内容、方式等进行严格审查。按照“谁制作、谁审核，谁审查、谁负责，先审查、后公开”的原则，严格执行《中华人民共和国保守国家秘密法》以及其他法律法规和国家有关规定，加强对拟公开政府信息的审查工作，政府信息公开保密审查机制更加健全。</w:t>
      </w:r>
    </w:p>
    <w:p>
      <w:pPr>
        <w:widowControl/>
        <w:shd w:val="clear" w:color="auto" w:fill="FFFFFF"/>
        <w:ind w:firstLine="480"/>
        <w:rPr>
          <w:rFonts w:ascii="宋体" w:hAnsi="宋体" w:eastAsia="宋体" w:cs="宋体"/>
          <w:color w:val="333333"/>
          <w:kern w:val="0"/>
          <w:sz w:val="24"/>
          <w:szCs w:val="24"/>
        </w:rPr>
      </w:pPr>
      <w:r>
        <w:t>五是用好全媒体宣传平台，回应群众关切。不断强化全媒体宣传体系建设，及时回应群众留言，针对群众的每个留言做到24小时内进行回复。2025年通过信阳市党建引领基层治理平台处理群众诉求2件。</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7</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t>一是政策解读的时效性还需加强，下一步将持续深化主动公开，对社会关切、人民群众急难愁盼问题，第一时间发布政策解读，加大政策解读力度，提高政策解读质量。</w:t>
      </w:r>
    </w:p>
    <w:p>
      <w:pPr>
        <w:widowControl/>
        <w:shd w:val="clear" w:color="auto" w:fill="FFFFFF"/>
        <w:ind w:firstLine="480"/>
        <w:rPr>
          <w:rFonts w:ascii="宋体" w:hAnsi="宋体" w:eastAsia="宋体" w:cs="宋体"/>
          <w:color w:val="333333"/>
          <w:kern w:val="0"/>
          <w:sz w:val="24"/>
          <w:szCs w:val="24"/>
        </w:rPr>
      </w:pPr>
      <w:r>
        <w:t>二是处理依申请公开复杂案件的能力不足,下一步需加大疑难案件的研究力度,对类似案件进行分类、分析、整理,努力实现公开的精细化,逐步提升业务办理能力。</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依据《政府信息公开信息处理费管理办法》本年度发出0个收费通知，收取信息处理费总金额为0。</w:t>
      </w:r>
      <w:bookmarkStart w:id="0" w:name="_GoBack"/>
      <w:bookmarkEnd w:id="0"/>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0256492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2026-01-21T08:30:09Z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A817A946316E420B9BBB44EBB95CDCDE_13</vt:lpwstr>
  </property>
</Properties>
</file>