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36"/>
          <w:szCs w:val="36"/>
          <w:lang w:eastAsia="zh-CN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信阳市中心城区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停车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管理工作实施方案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（征求意见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  <w:t>稿）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为系统破解中心城区停车供需矛盾，提升停车资源利用效率与综合治理水平，着力构建规范有序、便捷高效、智慧共享的停车环境，结合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中心城区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实际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情况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，制定本方案。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一、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通过对中心城区停车设施建设运营、管理秩序、配套设施，对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商业区、医院、学校、交通枢纽、老旧小区周边等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重点部位静态停车管理、动态交通秩序，开展综合管理，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压实部门工作责任，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加强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停车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设施建设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，规范中心城区停车秩序，提高停车管理标准化、规范化、精细化水平，实现城市交通秩序的良性发展，进一步提升城市服务品质。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二、管理重点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对中心城区公共停车场、重点部位静态停车秩序、动态交通组织管理开展整治，重点整治停车设施供给不足，公共停车场建设、运营、管理不规范，停车收费乱、专用停车场开放共享少、停车智慧化管理水平低等问题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Chars="200" w:right="0" w:rightChars="0" w:firstLine="320" w:firstLineChars="10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三、时间安排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2026年1月1日-2026年12月31日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四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工作措施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u w:val="none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1.</w:t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科学规划建设</w:t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按照市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城市国土空间规划，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制定停车设施建设方案，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建立停车设施项目库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；针对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商业区、医院、学校、交通枢纽、老旧小区周边等停车供需矛盾突出、群众反映强烈区域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，重点规划、计划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停车设施建设。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责任单位：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市城管局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配合单位：鼎信集团、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市自规局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、市住建局、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各区政府（开发区管委会）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.增建停车设施。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严格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落实《信阳市中心城区停车设施专项规划》，结合中心城区停车设施现状，特别是重点区域停车需求和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停车设施建设计划，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明确近期（2026-2028年）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改造20个停车场、2243个停车泊位，新增16个停车场、4246个停车泊位建设任务，扎实开展前期工作，启动设施建设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，增大停车资源供给。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责任单位：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鼎信集团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配合单位：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市城管局、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市自规局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、市住建局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、市人防办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各区政府（开发区管委会）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加强用地保障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市规划部门、辖区政府配合做好用地协调、用地报批等保障工作，配合鼎信集团推进停车场建设；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鼓励利用待建土地、空闲厂区、边角空地、等空间因地制宜建设停车设施，支持公用人防工程平时作为地下停车场有偿使用，提升公共资源、地下空间利用率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责任单位：市自规局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配合单位：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市城管局、市人防办，各区政府（开发区管委会）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4.制定收费标准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。对中心城区划分3类停车管理区域，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按照“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中心区域高于外围区域、重点区域高于非重点区域、拥堵时段高于空闲时段、路内高于路外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”的原则，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第一季度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制定出台中心城区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公共停车场和路内停车位收费标准，推进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停车服务差别化收费管理工作。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责任单位：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市发改委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配合单位：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市城管局、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市交警支队、鼎信集团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各区政府（开发区管委会）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5.</w:t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开展</w:t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差别化</w:t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停车</w:t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收费。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按照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中心城区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公共停车场和路内停车位收费标准，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开展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不同区域、不同位置、不同车型、不同时段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停车服务差别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化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收费，抑制不合理停车需求。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上半年试行，下半年全面推广执行。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同一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类管理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区域内，适当扩大路内、路外停车设施之间的收费标准差距，引导多使用路外停车设施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；推行路内收费停车泊位白天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30分钟内免费停放、夜间19时至次日早上7时免费停放服务。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责任单位：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市城管局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楷体" w:hAnsi="楷体" w:eastAsia="楷体" w:cs="楷体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配合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单位：市发改委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、市市场监管局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、市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交警支队，鼎信集团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各区政府（开发区管委会）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.</w:t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开放专用</w:t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停车</w:t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场地。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发掘既有停车资源，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开展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机关和事业单位内部专用停车场摸排；鼓励有条件的机关、事业单位的专用停车场向社会开放；工作日夜间19时至次日早上7：30分、双休日、节假日和重大活动期间，向社会免费开放，实现停车资源共享。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责任单位：市机关事务中心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配合单位：市城管局，各机关、事业单位，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各区政府（开发区管委会）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7.</w:t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共享配建停车设施。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上半年完成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中心城区住宅小区配建停车设施的管理与使用现状摸排，推动住宅小区配建地下停车位“租售并举”，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缓解停车位闲置和业主停车需求矛盾；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鼓励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住宅小区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将规划的停车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位，在征求业主意见后，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向社会提供错时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、有偿停车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服务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提升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停车位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利用效率。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责任单位：市住建局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配合单位：市自规局、市市场监管局、市城管局，各区政府（开发区管委会）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8</w:t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.</w:t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构建</w:t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智慧停车系统。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在现有中心城区静态交通管理信息平台的基础上，进一步完善系统功能；推动公共停车场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接入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静态交通管理信息系统，倡导机关、事业单位内部专用停车场接入信息管理系统，鼓励住宅小区配建停车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设施接入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静态交通管理信息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平台，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实现中心城区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停车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场信息共享，公共停车场实现“一网统管”；将静态交通管理系统接入市城市运行管理服务平台，实现停车管理“一屏统览”。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责任单位：鼎信集团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配合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单位：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市城管局、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市机关事务中心、市住建局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，各区政府（开发区管委会）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.</w:t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完善</w:t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停车诱导服务体系。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进智慧停车诱导系统技术开发与应用，在中心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城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区城市快速路、主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（次）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干道规划建设一批智慧停车诱导屏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，引导车辆就近便捷停车；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加快推广面向市民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群众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的智慧停车诱导服务移动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端“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信好停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”APP以及微信公众号、小程序等，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为市民群众出行提供智慧化停车服务。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责任单位：鼎信集团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配合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单位：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市城管局、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交警支队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、各区政府（开发区管委会）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2" w:firstLineChars="200"/>
        <w:jc w:val="both"/>
        <w:textAlignment w:val="auto"/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10</w:t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.</w:t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加强动态和静态停车管理</w:t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。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加大动态交通执法，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加大对学校、医院、商超等拥堵路段，以及在上下班、上学放学时段重要交通路段的现场交通组织和违停车辆现场执法，同时做好静态违停车辆执法管理工作,及时疏导交通拥堵问题。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责任单位：市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交警支队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配合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单位：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市城管局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、各区政府（开发区管委会）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11.规范停车场运营管理。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开展经营性停车场、未备案收费停车场、未收费停车场等公共停车场的排查，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加强行业监管，盘活闲置停车资源，督促停车场建设运营企业落实建设运营管理主体责任，科学设置停车场地，完善消防、监控、照明等各类配套设施，健全管理制度，规范建设运营，提供优质停车服务。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责任单位：市城管局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配合单位：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各区政府（开发区管委会）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、辖区城市管理部门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12.开展停车收费治理。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加强对停车收费监督检查，及时查处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未公示收费价格、未按公示价格随意收费等价格违法行为。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责任单位：市市场监管局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配合单位：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各区政府（开发区管委会）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、辖区市场监管部门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13.开展</w:t>
      </w:r>
      <w:r>
        <w:rPr>
          <w:rStyle w:val="9"/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占用公共用地治理。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开展对住宅小区、商业体等停车规划用地监督检查，重点对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城市道路两侧建筑退让红线区域内擅自改变规划用途施划停车泊位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超出停车用地规划范围（或超出配建停车位数量）占用城市道路、占用小区业主共有道路、广场、绿地等公共空间设置收费停车位的检查督导，及时查处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治理。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责任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单位：市自规局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配合单位：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各区政府（开发区管委会）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、辖区规划管理部门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五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、</w:t>
      </w:r>
      <w:r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工作保障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成立停车管理专项工作组，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加强对停车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理工作的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统筹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协调和监督指导，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定期研判工作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情况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，协调解决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重大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问题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</w:t>
      </w:r>
      <w:r>
        <w:rPr>
          <w:rStyle w:val="9"/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各单位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按照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责任分工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，加强沟通协调和工作配合，协同推进停车管理工作；加大工作宣传、政策解读，引导市民广泛参与，共同营造安全、有序、便捷的停车秩序。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停车管理专项工作组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960" w:firstLineChars="3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组      长：赵军伟     市政府常务副市长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960" w:firstLineChars="3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常务副组长：吴继宏     市政府副秘书长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960" w:firstLineChars="3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副  组  长：陈世玉     市城管局党组书记、局长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638" w:leftChars="456" w:hanging="3680" w:hangingChars="115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工作组成员：孔令传     市城管局党组成员、副局长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20" w:leftChars="200" w:firstLine="2518" w:firstLineChars="787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  昕    市发改委党组成员、副主任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573" w:leftChars="1416" w:hanging="1600" w:hangingChars="5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张金虎    市自规局党组副书记、副局长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  立    市住建局党组成员、副局长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573" w:leftChars="1416" w:right="-218" w:rightChars="-104" w:hanging="1600" w:hangingChars="5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 xml:space="preserve">李  懿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市市场监管局</w:t>
      </w: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val="en-US" w:eastAsia="zh-CN"/>
        </w:rPr>
        <w:t>四级高级主办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谷铁柱    市交警支队副支队长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  娟    市机关事务中心副主任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黄忠强    浉河区政府副区长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蒋月祥    平桥区政府副区长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4573" w:leftChars="1416" w:hanging="1600" w:hangingChars="5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邱业帅    羊山新区管委会党委委员、副主任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2560" w:firstLineChars="80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杨森杰    鼎信集团副总经理</w:t>
      </w:r>
    </w:p>
    <w:p>
      <w:pPr>
        <w:pStyle w:val="2"/>
        <w:ind w:left="0" w:leftChars="0" w:firstLine="640" w:firstLineChars="200"/>
        <w:jc w:val="both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停车管理专项工作组下设办公室，办公室设在市城管局，陈世玉兼任办公室主任，孔令传兼任办公室副主任。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DEF7AB"/>
    <w:rsid w:val="1BDEF7AB"/>
    <w:rsid w:val="1FD77B2A"/>
    <w:rsid w:val="2BDCD40A"/>
    <w:rsid w:val="2F79B4E0"/>
    <w:rsid w:val="32F645CC"/>
    <w:rsid w:val="4A7B98A3"/>
    <w:rsid w:val="50BAEE69"/>
    <w:rsid w:val="55D7BA3D"/>
    <w:rsid w:val="565F4A11"/>
    <w:rsid w:val="599CC19D"/>
    <w:rsid w:val="64EF22FE"/>
    <w:rsid w:val="69F57AF3"/>
    <w:rsid w:val="6AF326A3"/>
    <w:rsid w:val="6C7F842F"/>
    <w:rsid w:val="6F7F0A9E"/>
    <w:rsid w:val="6FD7CCC4"/>
    <w:rsid w:val="736FFCBD"/>
    <w:rsid w:val="766B9432"/>
    <w:rsid w:val="76FF52BB"/>
    <w:rsid w:val="77FF2332"/>
    <w:rsid w:val="793D5636"/>
    <w:rsid w:val="7AFFA102"/>
    <w:rsid w:val="7B4D37C1"/>
    <w:rsid w:val="7B678495"/>
    <w:rsid w:val="7B772D13"/>
    <w:rsid w:val="7C928DC6"/>
    <w:rsid w:val="7CEF33F2"/>
    <w:rsid w:val="7CF338BA"/>
    <w:rsid w:val="7DFBA7DF"/>
    <w:rsid w:val="7EDC4F2F"/>
    <w:rsid w:val="7EFD0EE8"/>
    <w:rsid w:val="7FAEAF29"/>
    <w:rsid w:val="7FB60407"/>
    <w:rsid w:val="7FB6102B"/>
    <w:rsid w:val="7FEEFD66"/>
    <w:rsid w:val="7FFF9A69"/>
    <w:rsid w:val="97C718E2"/>
    <w:rsid w:val="9E766475"/>
    <w:rsid w:val="9F76607D"/>
    <w:rsid w:val="B5ED0B55"/>
    <w:rsid w:val="BBD46823"/>
    <w:rsid w:val="BDAD0767"/>
    <w:rsid w:val="BDFFF3C6"/>
    <w:rsid w:val="BE2FB398"/>
    <w:rsid w:val="BF9A5528"/>
    <w:rsid w:val="BFABFD2F"/>
    <w:rsid w:val="BFAF0719"/>
    <w:rsid w:val="BFFD06D3"/>
    <w:rsid w:val="CF2310FB"/>
    <w:rsid w:val="D77E9313"/>
    <w:rsid w:val="D7D7FA10"/>
    <w:rsid w:val="DF4F3191"/>
    <w:rsid w:val="DF7F4D84"/>
    <w:rsid w:val="DF84A360"/>
    <w:rsid w:val="DF9B6D64"/>
    <w:rsid w:val="DFFD4310"/>
    <w:rsid w:val="E6BE20C6"/>
    <w:rsid w:val="E6DD8FF3"/>
    <w:rsid w:val="E79FDD81"/>
    <w:rsid w:val="EED722CE"/>
    <w:rsid w:val="EFF9D47C"/>
    <w:rsid w:val="EFFDD868"/>
    <w:rsid w:val="EFFEB4BA"/>
    <w:rsid w:val="EFFFE2AE"/>
    <w:rsid w:val="F56FB2A8"/>
    <w:rsid w:val="F6EF1504"/>
    <w:rsid w:val="F7EF576F"/>
    <w:rsid w:val="F9FF308D"/>
    <w:rsid w:val="FB53C14D"/>
    <w:rsid w:val="FBDC0213"/>
    <w:rsid w:val="FBE7B9BB"/>
    <w:rsid w:val="FBEAA8F7"/>
    <w:rsid w:val="FDB924EC"/>
    <w:rsid w:val="FDD72BD0"/>
    <w:rsid w:val="FDF72A86"/>
    <w:rsid w:val="FDF73F75"/>
    <w:rsid w:val="FE3BFE21"/>
    <w:rsid w:val="FE3E704E"/>
    <w:rsid w:val="FEFEBC1C"/>
    <w:rsid w:val="FF5FDF07"/>
    <w:rsid w:val="FF7F1E03"/>
    <w:rsid w:val="FF8D7E21"/>
    <w:rsid w:val="FFDFB9F3"/>
    <w:rsid w:val="FFE32E20"/>
    <w:rsid w:val="FFFFBA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0"/>
      </w:tabs>
      <w:spacing w:after="120" w:line="240" w:lineRule="auto"/>
      <w:ind w:left="420" w:leftChars="200" w:firstLine="420" w:firstLineChars="200"/>
      <w:jc w:val="both"/>
    </w:pPr>
    <w:rPr>
      <w:rFonts w:ascii="Times New Roman" w:hAnsi="Times New Roman" w:cs="Times New Roman"/>
      <w:b w:val="0"/>
      <w:bCs w:val="0"/>
      <w:sz w:val="28"/>
      <w:szCs w:val="22"/>
    </w:rPr>
  </w:style>
  <w:style w:type="paragraph" w:styleId="3">
    <w:name w:val="Body Text Indent"/>
    <w:basedOn w:val="1"/>
    <w:unhideWhenUsed/>
    <w:qFormat/>
    <w:uiPriority w:val="99"/>
    <w:pPr>
      <w:tabs>
        <w:tab w:val="left" w:pos="0"/>
      </w:tabs>
      <w:spacing w:line="360" w:lineRule="auto"/>
      <w:jc w:val="center"/>
    </w:pPr>
    <w:rPr>
      <w:rFonts w:ascii="仿宋" w:hAnsi="仿宋" w:cs="Times New Roman"/>
      <w:b/>
      <w:bCs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135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2025-12-09T18:26:00Z</dcterms:created>
  <dc:creator>inspur</dc:creator>
  <cp:lastModifiedBy>inspur</cp:lastModifiedBy>
  <cp:lastPrinted>2026-02-05T02:59:00Z</cp:lastPrinted>
  <dcterms:modified xsi:type="dcterms:W3CDTF">2026-02-05T11:54:56Z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