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70A25">
      <w:pPr>
        <w:wordWrap/>
        <w:spacing w:after="0"/>
        <w:ind w:right="0"/>
        <w:jc w:val="both"/>
        <w:textAlignment w:val="auto"/>
        <w:rPr>
          <w:rFonts w:hint="eastAsia" w:ascii="仿宋" w:hAnsi="仿宋" w:eastAsia="仿宋" w:cs="仿宋"/>
          <w:b w:val="0"/>
          <w:i w:val="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z w:val="32"/>
          <w:lang w:val="en-US" w:eastAsia="zh-CN"/>
        </w:rPr>
        <w:t xml:space="preserve">附件2  </w:t>
      </w:r>
      <w:r>
        <w:rPr>
          <w:rFonts w:hint="eastAsia" w:ascii="仿宋" w:hAnsi="仿宋" w:eastAsia="仿宋" w:cs="仿宋"/>
          <w:b w:val="0"/>
          <w:i w:val="0"/>
          <w:sz w:val="32"/>
          <w:lang w:val="en-US" w:eastAsia="zh-CN"/>
        </w:rPr>
        <w:t xml:space="preserve">                      </w:t>
      </w:r>
    </w:p>
    <w:p w14:paraId="3F7DA37D">
      <w:pPr>
        <w:wordWrap/>
        <w:spacing w:after="0"/>
        <w:ind w:right="0" w:firstLine="4800" w:firstLineChars="1500"/>
        <w:jc w:val="both"/>
        <w:textAlignment w:val="auto"/>
        <w:rPr>
          <w:rFonts w:hint="eastAsia" w:ascii="方正大标宋简体" w:hAnsi="方正大标宋简体" w:eastAsia="方正大标宋简体" w:cs="方正大标宋简体"/>
          <w:b w:val="0"/>
          <w:i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 w:val="0"/>
          <w:i w:val="0"/>
          <w:sz w:val="44"/>
          <w:szCs w:val="44"/>
          <w:lang w:val="en-US" w:eastAsia="zh-CN"/>
        </w:rPr>
        <w:t>资金支持清单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350"/>
        <w:gridCol w:w="9696"/>
      </w:tblGrid>
      <w:tr w14:paraId="249F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支持内容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支持方向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具体内容</w:t>
            </w:r>
          </w:p>
        </w:tc>
      </w:tr>
      <w:tr w14:paraId="3BB9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补齐县域商业基础设施短板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冷藏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主要包括冷冻柜、冷藏柜、立风柜、保鲜加湿器、冷藏车、冷鲜周转箱、水产池、其他用于商品冷藏服务的设施设备耗材等。</w:t>
            </w:r>
          </w:p>
        </w:tc>
      </w:tr>
      <w:tr w14:paraId="0BAA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87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陈列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6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主要包括陈列架、陈列柜、陈列台、柜台、陈 列道具、其他陈列设施设备等。</w:t>
            </w:r>
          </w:p>
        </w:tc>
      </w:tr>
      <w:tr w14:paraId="6C88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9C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打包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A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主要包括捆扎机、保鲜膜打包机、真空机、其他打包设施设备等。</w:t>
            </w:r>
          </w:p>
        </w:tc>
      </w:tr>
      <w:tr w14:paraId="392D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9E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结算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C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主要包括电脑、收银机、小票打印机、扫码枪、 自主结账机、电子秤、其他结算设备等。</w:t>
            </w:r>
          </w:p>
        </w:tc>
      </w:tr>
      <w:tr w14:paraId="57FB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C6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9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主要包括清洗设备、面食加工设备、烘焙加工设备、肉类加工设备、炒制加工设备、食品安全检测设备、其他食品加工设施设备等。</w:t>
            </w:r>
          </w:p>
        </w:tc>
      </w:tr>
      <w:tr w14:paraId="246B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00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数字化赋能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主要包括视频监控设备、线上销售小程序或APP等。</w:t>
            </w:r>
          </w:p>
        </w:tc>
      </w:tr>
      <w:tr w14:paraId="1AA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完善县乡村三级物流配送体系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仓储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7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主要包括冷库设备、货架、出库仪、电子称、标准托盘、监控设施设备、安检机、其他仓储设施及耗材等。</w:t>
            </w:r>
          </w:p>
        </w:tc>
      </w:tr>
      <w:tr w14:paraId="61DF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E9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分拣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E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主要包括自动分拣线、周转筐、周转袋、周转笼、周转包、周转箱、传送带、分拣机、其他分拣设施等。</w:t>
            </w:r>
          </w:p>
        </w:tc>
      </w:tr>
      <w:tr w14:paraId="7DE7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0C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包装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1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主要包括捆扎机、打包机、贴标设备、干燥设备、杀菌设备、其他包装设备等。</w:t>
            </w:r>
          </w:p>
        </w:tc>
      </w:tr>
      <w:tr w14:paraId="576E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28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装卸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D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主要包括叉车、搬运设备、堆高设备、重量测量设施、其他装卸设备等。</w:t>
            </w:r>
          </w:p>
        </w:tc>
      </w:tr>
      <w:tr w14:paraId="4DCF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EE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E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运输配送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F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主要包括常温货车、冷藏货车、其他微型运输车辆等。</w:t>
            </w:r>
          </w:p>
        </w:tc>
      </w:tr>
      <w:tr w14:paraId="30D1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改善优化县域消费渠道</w:t>
            </w:r>
          </w:p>
        </w:tc>
        <w:tc>
          <w:tcPr>
            <w:tcW w:w="1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省内品牌商贸零售企业下沉渠道，开设乡镇、村级品牌连锁便利店，实行商品统一采购、统一配送，必要的支出，包括统一收银设备、统一管理系统(主要是指硬件)、商品陈设等设备。</w:t>
            </w:r>
          </w:p>
        </w:tc>
      </w:tr>
      <w:tr w14:paraId="5758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增强农村产品上行动能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分拣</w:t>
            </w:r>
          </w:p>
        </w:tc>
        <w:tc>
          <w:tcPr>
            <w:tcW w:w="9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F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主要包括农村产品分拣包装生产线、清洗、色选、分级、包装及其他分拣设施等。</w:t>
            </w:r>
          </w:p>
        </w:tc>
      </w:tr>
      <w:tr w14:paraId="17FE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82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预冷</w:t>
            </w:r>
          </w:p>
        </w:tc>
        <w:tc>
          <w:tcPr>
            <w:tcW w:w="9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7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主要包括通风设备、预冷制冷设备、气调设备、输送存贮设备、称量设备、其他预冷设备等。</w:t>
            </w:r>
          </w:p>
        </w:tc>
      </w:tr>
      <w:tr w14:paraId="08BF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59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初加工</w:t>
            </w:r>
          </w:p>
        </w:tc>
        <w:tc>
          <w:tcPr>
            <w:tcW w:w="9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主要包括烘干机、称重搅拌机、储料输送机、 剁椒机、震动给料机、装袋机、清理机、其他农村产品初加工设备等。</w:t>
            </w:r>
          </w:p>
        </w:tc>
      </w:tr>
      <w:tr w14:paraId="31CA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39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运输配送</w:t>
            </w:r>
          </w:p>
        </w:tc>
        <w:tc>
          <w:tcPr>
            <w:tcW w:w="9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3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主要包括常温货车、冷藏货车、其他微型运输车辆等。</w:t>
            </w:r>
          </w:p>
        </w:tc>
      </w:tr>
      <w:tr w14:paraId="48B2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提高生活服务供给质量</w:t>
            </w:r>
          </w:p>
        </w:tc>
        <w:tc>
          <w:tcPr>
            <w:tcW w:w="1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D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亲子娱乐、打印、充气充电、熟食加热、图书室、公平秤、洗衣机、烘干机等便民设施设备。帮扶专柜等设施</w:t>
            </w:r>
          </w:p>
        </w:tc>
      </w:tr>
      <w:tr w14:paraId="04AF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废旧家电家具再生资源回收体系建设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中转设施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E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支持改造建设县域废旧家电家具回收、中转、集散站点等。</w:t>
            </w:r>
          </w:p>
        </w:tc>
      </w:tr>
      <w:tr w14:paraId="56CB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C3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服务功能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支持乡镇商贸中心等商业网点提供废旧家电回收、二手家电经销、维修等生活服务。</w:t>
            </w:r>
          </w:p>
        </w:tc>
      </w:tr>
      <w:tr w14:paraId="720A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EE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回收网络</w:t>
            </w:r>
          </w:p>
        </w:tc>
        <w:tc>
          <w:tcPr>
            <w:tcW w:w="9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支持废旧家电回收企业配备再生资源回收车辆。</w:t>
            </w:r>
          </w:p>
        </w:tc>
      </w:tr>
    </w:tbl>
    <w:p w14:paraId="62C060E4">
      <w:pPr>
        <w:wordWrap/>
        <w:spacing w:after="0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lang w:val="en-US" w:eastAsia="zh-CN"/>
        </w:rPr>
      </w:pPr>
    </w:p>
    <w:p w14:paraId="5CC9ABBB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606ECA-D52F-4020-9799-0DB49F212F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7360F8D-AC30-43CA-AA00-8F8E1331D1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1C5340-BD38-400E-88FD-71896F3741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D5F1B66-3316-4590-8112-11BCC27857F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68552C3-0960-48FD-8DF7-BB76FA8913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F93CB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03C47"/>
    <w:rsid w:val="02B40E52"/>
    <w:rsid w:val="03ED3E80"/>
    <w:rsid w:val="084E1401"/>
    <w:rsid w:val="08FD1691"/>
    <w:rsid w:val="09667F1D"/>
    <w:rsid w:val="0FDB273A"/>
    <w:rsid w:val="10603C47"/>
    <w:rsid w:val="110A1D05"/>
    <w:rsid w:val="12D931F9"/>
    <w:rsid w:val="139B32EE"/>
    <w:rsid w:val="13CD7870"/>
    <w:rsid w:val="143B4F81"/>
    <w:rsid w:val="146C7CA8"/>
    <w:rsid w:val="148971D0"/>
    <w:rsid w:val="152A034A"/>
    <w:rsid w:val="1B460CE0"/>
    <w:rsid w:val="1B666E67"/>
    <w:rsid w:val="1D0F3839"/>
    <w:rsid w:val="1D3F7C0B"/>
    <w:rsid w:val="21743BAB"/>
    <w:rsid w:val="26802EE8"/>
    <w:rsid w:val="2B482351"/>
    <w:rsid w:val="2BDF5FFD"/>
    <w:rsid w:val="2E721BA8"/>
    <w:rsid w:val="30950A1A"/>
    <w:rsid w:val="318E19B6"/>
    <w:rsid w:val="332E5AD3"/>
    <w:rsid w:val="39E9692C"/>
    <w:rsid w:val="3BD6093A"/>
    <w:rsid w:val="41B7042B"/>
    <w:rsid w:val="43574F75"/>
    <w:rsid w:val="44831473"/>
    <w:rsid w:val="451E1855"/>
    <w:rsid w:val="46020B59"/>
    <w:rsid w:val="4A2D77C0"/>
    <w:rsid w:val="4ECE7859"/>
    <w:rsid w:val="504F52E3"/>
    <w:rsid w:val="56257A60"/>
    <w:rsid w:val="56FC34D1"/>
    <w:rsid w:val="576B7CFE"/>
    <w:rsid w:val="5C502E84"/>
    <w:rsid w:val="5D3F561F"/>
    <w:rsid w:val="5D883B4D"/>
    <w:rsid w:val="63DA4B5E"/>
    <w:rsid w:val="6422373F"/>
    <w:rsid w:val="64E73576"/>
    <w:rsid w:val="65937275"/>
    <w:rsid w:val="69860DFF"/>
    <w:rsid w:val="6B4B6DA8"/>
    <w:rsid w:val="6C7672FB"/>
    <w:rsid w:val="6DF72075"/>
    <w:rsid w:val="71E13469"/>
    <w:rsid w:val="753B48E1"/>
    <w:rsid w:val="799B3E33"/>
    <w:rsid w:val="7F5B4401"/>
    <w:rsid w:val="7FF6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  <w:rPr>
      <w:rFonts w:ascii="Calibri" w:hAnsi="Calibri" w:eastAsia="方正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2 Char"/>
    <w:link w:val="3"/>
    <w:qFormat/>
    <w:uiPriority w:val="0"/>
    <w:rPr>
      <w:rFonts w:ascii="宋体" w:hAnsi="宋体" w:eastAsia="黑体" w:cs="宋体"/>
      <w:sz w:val="32"/>
    </w:rPr>
  </w:style>
  <w:style w:type="character" w:customStyle="1" w:styleId="9">
    <w:name w:val="标题 3 Char"/>
    <w:link w:val="4"/>
    <w:qFormat/>
    <w:uiPriority w:val="0"/>
    <w:rPr>
      <w:rFonts w:eastAsia="楷体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2026-02-09T09:26:00Z</dcterms:created>
  <dc:creator>L_April.</dc:creator>
  <cp:lastModifiedBy>L_April.</cp:lastModifiedBy>
  <dcterms:modified xsi:type="dcterms:W3CDTF">2026-02-09T09:27:12Z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D80C55EF1CAA44F18E84D93E765997FC_11</vt:lpwstr>
  </property>
  <property fmtid="{D5CDD505-2E9C-101B-9397-08002B2CF9AE}" pid="4" name="KSOTemplateDocerSaveRecord">
    <vt:lpwstr>eyJoZGlkIjoiMDNkZTc1NGY0ZDM3NzczOThlZGRhYmQ2MzNmZmYyZWMiLCJ1c2VySWQiOiIzMzgwNDA0NjMifQ==</vt:lpwstr>
  </property>
</Properties>
</file>