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86FF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color w:val="auto"/>
          <w:sz w:val="44"/>
          <w:szCs w:val="44"/>
        </w:rPr>
      </w:pPr>
      <w:r>
        <w:rPr>
          <w:rFonts w:hint="eastAsia" w:ascii="黑体" w:hAnsi="黑体" w:eastAsia="黑体" w:cs="黑体"/>
          <w:color w:val="auto"/>
          <w:sz w:val="44"/>
          <w:szCs w:val="44"/>
          <w:lang w:eastAsia="zh-CN"/>
        </w:rPr>
        <w:t>潢川县</w:t>
      </w:r>
      <w:r>
        <w:rPr>
          <w:rFonts w:hint="eastAsia" w:ascii="黑体" w:hAnsi="黑体" w:eastAsia="黑体" w:cs="黑体"/>
          <w:color w:val="auto"/>
          <w:sz w:val="44"/>
          <w:szCs w:val="44"/>
        </w:rPr>
        <w:t>仁和镇</w:t>
      </w:r>
    </w:p>
    <w:p w14:paraId="5D9F06C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44"/>
          <w:szCs w:val="44"/>
          <w:lang w:eastAsia="zh-CN"/>
        </w:rPr>
      </w:pPr>
      <w:r>
        <w:rPr>
          <w:rFonts w:hint="eastAsia" w:ascii="黑体" w:hAnsi="黑体" w:eastAsia="黑体" w:cs="黑体"/>
          <w:color w:val="auto"/>
          <w:sz w:val="44"/>
          <w:szCs w:val="44"/>
          <w:lang w:eastAsia="zh-CN"/>
        </w:rPr>
        <w:t>关于</w:t>
      </w:r>
      <w:r>
        <w:rPr>
          <w:rFonts w:hint="eastAsia" w:ascii="黑体" w:hAnsi="黑体" w:eastAsia="黑体" w:cs="黑体"/>
          <w:color w:val="auto"/>
          <w:sz w:val="44"/>
          <w:szCs w:val="44"/>
        </w:rPr>
        <w:t>2025年度法治政府建设</w:t>
      </w:r>
      <w:r>
        <w:rPr>
          <w:rFonts w:hint="eastAsia" w:ascii="黑体" w:hAnsi="黑体" w:eastAsia="黑体" w:cs="黑体"/>
          <w:color w:val="auto"/>
          <w:sz w:val="44"/>
          <w:szCs w:val="44"/>
          <w:lang w:eastAsia="zh-CN"/>
        </w:rPr>
        <w:t>情况的</w:t>
      </w:r>
      <w:r>
        <w:rPr>
          <w:rFonts w:hint="eastAsia" w:ascii="黑体" w:hAnsi="黑体" w:eastAsia="黑体" w:cs="黑体"/>
          <w:color w:val="auto"/>
          <w:sz w:val="44"/>
          <w:szCs w:val="44"/>
        </w:rPr>
        <w:t>报告</w:t>
      </w:r>
    </w:p>
    <w:p w14:paraId="44944E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156CC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仁和</w:t>
      </w:r>
      <w:r>
        <w:rPr>
          <w:rFonts w:hint="eastAsia" w:ascii="仿宋_GB2312" w:hAnsi="仿宋_GB2312" w:eastAsia="仿宋_GB2312" w:cs="仿宋_GB2312"/>
          <w:sz w:val="32"/>
          <w:szCs w:val="32"/>
        </w:rPr>
        <w:t>镇在县委、县政府的坚强领导下，紧紧围绕全面依法治国总体要求和建设法治政府的目标任务，坚持把法治建设贯穿于政府工作全过程、各方面，着力提升依法行政水平，优化公共服务，化解社会矛盾，保障群众权益，为全镇经济社会持续健康发展营造了良好的法治环境。现将本年度法治政府建设工作情况报告如下：</w:t>
      </w:r>
    </w:p>
    <w:p w14:paraId="41319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一、党政主要负责人履行推进法治建设第一责任人职责，加强法治政府建设的有关情况</w:t>
      </w:r>
    </w:p>
    <w:p w14:paraId="3076C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镇党委、政府始终将法治建设作为一项基础性、全局性工作来抓，党政主要负责</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严格履行推进法治建设第一责任人职责，切实发挥领导核心作用。</w:t>
      </w:r>
    </w:p>
    <w:p w14:paraId="780DDD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一是强化政治引领，高位推动落实。</w:t>
      </w:r>
      <w:r>
        <w:rPr>
          <w:rFonts w:hint="eastAsia" w:ascii="仿宋_GB2312" w:hAnsi="仿宋_GB2312" w:eastAsia="仿宋_GB2312" w:cs="仿宋_GB2312"/>
          <w:sz w:val="32"/>
          <w:szCs w:val="32"/>
        </w:rPr>
        <w:t>镇党委、政府主要负责同志坚持以身作则、率先垂范，深刻认识法治建设的重要性与紧迫性，将法治政府建设工作纳入镇党委重要议事日程和全镇发展总体规划。定期主持召开会议，专题研究部署法治建设重点任务，听取进展情况汇报，协调解决工作中的难点、堵点问题，确保法治建设各项决策部署在全镇得到不折不扣</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贯彻执行。</w:t>
      </w:r>
    </w:p>
    <w:p w14:paraId="40EF6D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二是健全责任体系，层层传导压力。</w:t>
      </w:r>
      <w:r>
        <w:rPr>
          <w:rFonts w:hint="eastAsia" w:ascii="仿宋_GB2312" w:hAnsi="仿宋_GB2312" w:eastAsia="仿宋_GB2312" w:cs="仿宋_GB2312"/>
          <w:sz w:val="32"/>
          <w:szCs w:val="32"/>
        </w:rPr>
        <w:t>严格落实《党政主要负责人履行推进法治建设第一责任人职责规定》，明确党委书记、镇长作为第一责任人的具体职责清单。建立健全镇党政领导班子成员“一岗双责”的法治建设工作机制，将法治建设成效纳入领导干部年度考核评价体系。通过印发年度工作要点，将法治建设任务分解到各村（</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股室、站所</w:t>
      </w:r>
      <w:r>
        <w:rPr>
          <w:rFonts w:hint="eastAsia" w:ascii="仿宋_GB2312" w:hAnsi="仿宋_GB2312" w:eastAsia="仿宋_GB2312" w:cs="仿宋_GB2312"/>
          <w:sz w:val="32"/>
          <w:szCs w:val="32"/>
        </w:rPr>
        <w:t>，形成“主要领导亲自抓、分管领导具体抓、各部门协同抓、各村（</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）落实抓”的齐抓共管工作格局。</w:t>
      </w:r>
    </w:p>
    <w:p w14:paraId="3844B3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三是坚持依法决策，规范权力运行。</w:t>
      </w:r>
      <w:r>
        <w:rPr>
          <w:rFonts w:hint="eastAsia" w:ascii="仿宋_GB2312" w:hAnsi="仿宋_GB2312" w:eastAsia="仿宋_GB2312" w:cs="仿宋_GB2312"/>
          <w:sz w:val="32"/>
          <w:szCs w:val="32"/>
        </w:rPr>
        <w:t>带头尊法学法守法用法，将法律知识学习作为党委理论学习中心组学习重要议题，重点学习与乡镇治理、民生保障、经济发展密切相关的法律法规。严格执行“三重一大”事项集体决策制度，所有重大行政决策、重要合同签订、重大项目安排均须经过合法性审查，并充分听取法律顾问和专业机构意见，确保决策内容合法、程序正当、过程公开、责任明确。</w:t>
      </w:r>
    </w:p>
    <w:p w14:paraId="6F5DE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二、2025年推进法治政府建设的主要举措和成效</w:t>
      </w:r>
    </w:p>
    <w:p w14:paraId="4FEB01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（一）聚焦组织保障，夯实法治建设根基</w:t>
      </w:r>
    </w:p>
    <w:p w14:paraId="275656A8">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是优化领导机制。</w:t>
      </w:r>
      <w:r>
        <w:rPr>
          <w:rFonts w:hint="eastAsia" w:ascii="仿宋_GB2312" w:hAnsi="仿宋_GB2312" w:eastAsia="仿宋_GB2312" w:cs="仿宋_GB2312"/>
          <w:sz w:val="32"/>
          <w:szCs w:val="32"/>
        </w:rPr>
        <w:t>镇党委、政府高度重视法治政府建设工作，成立了以党委书记为组长、分管领导为副组长、相关部门负责人为成员的法治政府建设工作领导小组，并及时根据人员调动和实际工作需要调整工作领导小组，统筹推进依法治镇工作。</w:t>
      </w:r>
      <w:r>
        <w:rPr>
          <w:rFonts w:hint="eastAsia" w:ascii="仿宋_GB2312" w:hAnsi="仿宋_GB2312" w:eastAsia="仿宋_GB2312" w:cs="仿宋_GB2312"/>
          <w:b/>
          <w:bCs/>
          <w:sz w:val="32"/>
          <w:szCs w:val="32"/>
        </w:rPr>
        <w:t>二是完善制度设计。</w:t>
      </w:r>
      <w:r>
        <w:rPr>
          <w:rFonts w:hint="eastAsia" w:ascii="仿宋_GB2312" w:hAnsi="仿宋_GB2312" w:eastAsia="仿宋_GB2312" w:cs="仿宋_GB2312"/>
          <w:sz w:val="32"/>
          <w:szCs w:val="32"/>
        </w:rPr>
        <w:t>结合本镇实际，修订完善了政府工作规则、行政执法程序规定、规范性文件管理、政务公开等一系列制度，使各项工作有章可循、有据可依。</w:t>
      </w:r>
      <w:r>
        <w:rPr>
          <w:rFonts w:hint="eastAsia" w:ascii="仿宋_GB2312" w:hAnsi="仿宋_GB2312" w:eastAsia="仿宋_GB2312" w:cs="仿宋_GB2312"/>
          <w:b/>
          <w:bCs/>
          <w:sz w:val="32"/>
          <w:szCs w:val="32"/>
        </w:rPr>
        <w:t>三是强化考核督导。</w:t>
      </w:r>
      <w:r>
        <w:rPr>
          <w:rFonts w:hint="eastAsia" w:ascii="仿宋_GB2312" w:hAnsi="仿宋_GB2312" w:eastAsia="仿宋_GB2312" w:cs="仿宋_GB2312"/>
          <w:sz w:val="32"/>
          <w:szCs w:val="32"/>
        </w:rPr>
        <w:t>将法治政府建设重点指标纳入对各站所、村（</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）的年度综合考核体系，定期开展专项督查和中期评估，推动责任落实、任务落地。</w:t>
      </w:r>
    </w:p>
    <w:p w14:paraId="1708C31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聚焦普法宣传，营造浓厚法治氛围</w:t>
      </w:r>
      <w:r>
        <w:rPr>
          <w:rFonts w:hint="eastAsia" w:ascii="楷体_GB2312" w:hAnsi="楷体_GB2312" w:eastAsia="楷体_GB2312" w:cs="楷体_GB2312"/>
          <w:b/>
          <w:bCs/>
          <w:sz w:val="32"/>
          <w:szCs w:val="32"/>
          <w:lang w:eastAsia="zh-CN"/>
        </w:rPr>
        <w:t>。</w:t>
      </w:r>
    </w:p>
    <w:p w14:paraId="4E95F8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一是拓展宣传阵地。</w:t>
      </w:r>
      <w:r>
        <w:rPr>
          <w:rFonts w:hint="eastAsia" w:ascii="仿宋_GB2312" w:hAnsi="仿宋_GB2312" w:eastAsia="仿宋_GB2312" w:cs="仿宋_GB2312"/>
          <w:sz w:val="32"/>
          <w:szCs w:val="32"/>
        </w:rPr>
        <w:t>在传统宣传栏、横幅、宣传册等阵地基础上，充分利用镇村网格微信群、乡村大喇叭等平台，定期推送普法案例、法律常识、政策解读。在镇便民服务中心、公共法律服务站、村民广场等人流密集场所设立固定普法宣传点。</w:t>
      </w:r>
      <w:r>
        <w:rPr>
          <w:rFonts w:hint="eastAsia" w:ascii="仿宋_GB2312" w:hAnsi="仿宋_GB2312" w:eastAsia="仿宋_GB2312" w:cs="仿宋_GB2312"/>
          <w:b/>
          <w:bCs/>
          <w:sz w:val="32"/>
          <w:szCs w:val="32"/>
        </w:rPr>
        <w:t>二是突出宣传重点。</w:t>
      </w:r>
      <w:r>
        <w:rPr>
          <w:rFonts w:hint="eastAsia" w:ascii="仿宋_GB2312" w:hAnsi="仿宋_GB2312" w:eastAsia="仿宋_GB2312" w:cs="仿宋_GB2312"/>
          <w:sz w:val="32"/>
          <w:szCs w:val="32"/>
        </w:rPr>
        <w:t>围绕宪法、民法典、乡村振兴促进法、土地管理法、安全生产法、信访工作条例等与群众生产生活息息相关的法律法规，结合“4·15”全民国家安全教育日、“民法典宣传月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宪法宣传周”等重</w:t>
      </w:r>
      <w:r>
        <w:rPr>
          <w:rFonts w:hint="eastAsia" w:ascii="仿宋_GB2312" w:hAnsi="仿宋_GB2312" w:eastAsia="仿宋_GB2312" w:cs="仿宋_GB2312"/>
          <w:sz w:val="32"/>
          <w:szCs w:val="32"/>
          <w:highlight w:val="none"/>
        </w:rPr>
        <w:t>要节点，组织开展集中宣传活动。全年累计开展各类普法宣传活动</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场次，悬挂标语</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条，发放宣传资料</w:t>
      </w:r>
      <w:r>
        <w:rPr>
          <w:rFonts w:hint="eastAsia" w:ascii="仿宋_GB2312" w:hAnsi="仿宋_GB2312" w:eastAsia="仿宋_GB2312" w:cs="仿宋_GB2312"/>
          <w:sz w:val="32"/>
          <w:szCs w:val="32"/>
          <w:highlight w:val="none"/>
          <w:lang w:val="en-US" w:eastAsia="zh-CN"/>
        </w:rPr>
        <w:t>8000</w:t>
      </w:r>
      <w:r>
        <w:rPr>
          <w:rFonts w:hint="eastAsia" w:ascii="仿宋_GB2312" w:hAnsi="仿宋_GB2312" w:eastAsia="仿宋_GB2312" w:cs="仿宋_GB2312"/>
          <w:sz w:val="32"/>
          <w:szCs w:val="32"/>
          <w:highlight w:val="none"/>
        </w:rPr>
        <w:t>余份，覆盖群众</w:t>
      </w:r>
      <w:r>
        <w:rPr>
          <w:rFonts w:hint="eastAsia" w:ascii="仿宋_GB2312" w:hAnsi="仿宋_GB2312" w:eastAsia="仿宋_GB2312" w:cs="仿宋_GB2312"/>
          <w:sz w:val="32"/>
          <w:szCs w:val="32"/>
          <w:highlight w:val="none"/>
          <w:lang w:val="en-US" w:eastAsia="zh-CN"/>
        </w:rPr>
        <w:t>3千</w:t>
      </w:r>
      <w:r>
        <w:rPr>
          <w:rFonts w:hint="eastAsia" w:ascii="仿宋_GB2312" w:hAnsi="仿宋_GB2312" w:eastAsia="仿宋_GB2312" w:cs="仿宋_GB2312"/>
          <w:sz w:val="32"/>
          <w:szCs w:val="32"/>
          <w:highlight w:val="none"/>
        </w:rPr>
        <w:t>余人次。</w:t>
      </w:r>
      <w:r>
        <w:rPr>
          <w:rFonts w:hint="eastAsia" w:ascii="仿宋_GB2312" w:hAnsi="仿宋_GB2312" w:eastAsia="仿宋_GB2312" w:cs="仿宋_GB2312"/>
          <w:b/>
          <w:bCs/>
          <w:sz w:val="32"/>
          <w:szCs w:val="32"/>
          <w:highlight w:val="none"/>
        </w:rPr>
        <w:t>三是抓实重点人群教育。</w:t>
      </w:r>
      <w:r>
        <w:rPr>
          <w:rFonts w:hint="eastAsia" w:ascii="仿宋_GB2312" w:hAnsi="仿宋_GB2312" w:eastAsia="仿宋_GB2312" w:cs="仿宋_GB2312"/>
          <w:sz w:val="32"/>
          <w:szCs w:val="32"/>
          <w:highlight w:val="none"/>
        </w:rPr>
        <w:t>加强领</w:t>
      </w:r>
      <w:r>
        <w:rPr>
          <w:rFonts w:hint="eastAsia" w:ascii="仿宋_GB2312" w:hAnsi="仿宋_GB2312" w:eastAsia="仿宋_GB2312" w:cs="仿宋_GB2312"/>
          <w:sz w:val="32"/>
          <w:szCs w:val="32"/>
        </w:rPr>
        <w:t>导干部和公职人员学法，通过“周四大学堂”、专题法治讲座、在线学习平台等形式，组织学习相关法律法规。深化青少年法治教育，配备法治副校长，开展“法治进校园”活动。加强村（</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）“两委”干部、人民调解员、法律明白人的培训，提升基层依法治理能力。</w:t>
      </w:r>
    </w:p>
    <w:p w14:paraId="4F9FCBA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聚焦依法行政，提升政府服务效能</w:t>
      </w:r>
    </w:p>
    <w:p w14:paraId="5211B4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是严格规范行政执法。</w:t>
      </w:r>
      <w:r>
        <w:rPr>
          <w:rFonts w:hint="eastAsia" w:ascii="仿宋_GB2312" w:hAnsi="仿宋_GB2312" w:eastAsia="仿宋_GB2312" w:cs="仿宋_GB2312"/>
          <w:sz w:val="32"/>
          <w:szCs w:val="32"/>
        </w:rPr>
        <w:t>全面落实行政执法公示、执法全过程记录、重大执法决定法制审核“三项制度”。组织行政执法人员参加县级轮训和镇内业务培训，提升执法队伍专业素养。聚焦生态环境、农业农村、市场监管、安全生产、社会治安等重点领域，加大执法检查力度。</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是健全依法决策机制。</w:t>
      </w:r>
      <w:r>
        <w:rPr>
          <w:rFonts w:hint="eastAsia" w:ascii="仿宋_GB2312" w:hAnsi="仿宋_GB2312" w:eastAsia="仿宋_GB2312" w:cs="仿宋_GB2312"/>
          <w:sz w:val="32"/>
          <w:szCs w:val="32"/>
        </w:rPr>
        <w:t>完善政府法律顾问制度，聘请专业律师担任镇政府法律顾问，并在全镇</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个村（</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）实现法律顾问全覆盖，有效防范了法律风险。严格执行规范性文件制定程序和备案审查制度。</w:t>
      </w:r>
      <w:r>
        <w:rPr>
          <w:rFonts w:hint="eastAsia" w:ascii="仿宋_GB2312" w:hAnsi="仿宋_GB2312" w:eastAsia="仿宋_GB2312" w:cs="仿宋_GB2312"/>
          <w:b/>
          <w:bCs/>
          <w:sz w:val="32"/>
          <w:szCs w:val="32"/>
          <w:highlight w:val="none"/>
          <w:lang w:eastAsia="zh-CN"/>
        </w:rPr>
        <w:t>三是着力提升乡村治理法治化水平。</w:t>
      </w:r>
      <w:r>
        <w:rPr>
          <w:rFonts w:hint="eastAsia" w:ascii="仿宋_GB2312" w:hAnsi="仿宋_GB2312" w:eastAsia="仿宋_GB2312" w:cs="仿宋_GB2312"/>
          <w:b w:val="0"/>
          <w:bCs w:val="0"/>
          <w:sz w:val="32"/>
          <w:szCs w:val="32"/>
          <w:highlight w:val="none"/>
          <w:lang w:eastAsia="zh-CN"/>
        </w:rPr>
        <w:t>以民主法治示范村创建为载体，营造全民学法用法守法的浓厚氛围。截至目前，连岗村被评为全省“民主法治示范村”，四里村、仁和村和街道居委会被评为全市“民主法治示范村”，为各村（街）委会创建法治示范村树立了良好的榜样，为全面实施乡村振兴提供了良好的法治环境。</w:t>
      </w:r>
    </w:p>
    <w:p w14:paraId="10331EC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聚焦矛盾化解，维护</w:t>
      </w:r>
      <w:r>
        <w:rPr>
          <w:rFonts w:hint="eastAsia" w:ascii="楷体" w:hAnsi="楷体" w:eastAsia="楷体" w:cs="楷体"/>
          <w:b/>
          <w:bCs/>
          <w:sz w:val="32"/>
          <w:szCs w:val="32"/>
          <w:lang w:eastAsia="zh-CN"/>
        </w:rPr>
        <w:t>辖区</w:t>
      </w:r>
      <w:r>
        <w:rPr>
          <w:rFonts w:hint="eastAsia" w:ascii="楷体" w:hAnsi="楷体" w:eastAsia="楷体" w:cs="楷体"/>
          <w:b/>
          <w:bCs/>
          <w:sz w:val="32"/>
          <w:szCs w:val="32"/>
        </w:rPr>
        <w:t>和谐稳定</w:t>
      </w:r>
      <w:r>
        <w:rPr>
          <w:rFonts w:hint="eastAsia" w:ascii="楷体" w:hAnsi="楷体" w:eastAsia="楷体" w:cs="楷体"/>
          <w:b/>
          <w:bCs/>
          <w:sz w:val="32"/>
          <w:szCs w:val="32"/>
          <w:lang w:eastAsia="zh-CN"/>
        </w:rPr>
        <w:t>。</w:t>
      </w:r>
    </w:p>
    <w:p w14:paraId="773BA5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rPr>
        <w:t>积极构建多元化的矛盾纠纷化解机制，大力开展矛盾纠纷大排查大化解活动，建立以镇政府为“龙头”</w:t>
      </w:r>
      <w:r>
        <w:rPr>
          <w:rFonts w:hint="eastAsia" w:ascii="仿宋_GB2312" w:hAnsi="仿宋_GB2312" w:eastAsia="仿宋_GB2312" w:cs="仿宋_GB2312"/>
          <w:b w:val="0"/>
          <w:bCs w:val="0"/>
          <w:sz w:val="32"/>
          <w:szCs w:val="32"/>
          <w:lang w:eastAsia="zh-CN"/>
        </w:rPr>
        <w:t>，以</w:t>
      </w:r>
      <w:r>
        <w:rPr>
          <w:rFonts w:hint="eastAsia" w:ascii="仿宋_GB2312" w:hAnsi="仿宋_GB2312" w:eastAsia="仿宋_GB2312" w:cs="仿宋_GB2312"/>
          <w:b w:val="0"/>
          <w:bCs w:val="0"/>
          <w:sz w:val="32"/>
          <w:szCs w:val="32"/>
        </w:rPr>
        <w:t>司法所为“主阵地”</w:t>
      </w:r>
      <w:r>
        <w:rPr>
          <w:rFonts w:hint="eastAsia" w:ascii="仿宋_GB2312" w:hAnsi="仿宋_GB2312" w:eastAsia="仿宋_GB2312" w:cs="仿宋_GB2312"/>
          <w:b w:val="0"/>
          <w:bCs w:val="0"/>
          <w:sz w:val="32"/>
          <w:szCs w:val="32"/>
          <w:lang w:eastAsia="zh-CN"/>
        </w:rPr>
        <w:t>，以</w:t>
      </w:r>
      <w:r>
        <w:rPr>
          <w:rFonts w:hint="eastAsia" w:ascii="仿宋_GB2312" w:hAnsi="仿宋_GB2312" w:eastAsia="仿宋_GB2312" w:cs="仿宋_GB2312"/>
          <w:b w:val="0"/>
          <w:bCs w:val="0"/>
          <w:sz w:val="32"/>
          <w:szCs w:val="32"/>
        </w:rPr>
        <w:t>村委会为基础的人民调解组织网格体系，切实发挥好人民调解、行政调解在调处矛盾</w:t>
      </w:r>
      <w:r>
        <w:rPr>
          <w:rFonts w:hint="eastAsia" w:ascii="仿宋_GB2312" w:hAnsi="仿宋_GB2312" w:eastAsia="仿宋_GB2312" w:cs="仿宋_GB2312"/>
          <w:b w:val="0"/>
          <w:bCs w:val="0"/>
          <w:sz w:val="32"/>
          <w:szCs w:val="32"/>
          <w:lang w:eastAsia="zh-CN"/>
        </w:rPr>
        <w:t>纠纷中</w:t>
      </w:r>
      <w:r>
        <w:rPr>
          <w:rFonts w:hint="eastAsia" w:ascii="仿宋_GB2312" w:hAnsi="仿宋_GB2312" w:eastAsia="仿宋_GB2312" w:cs="仿宋_GB2312"/>
          <w:b w:val="0"/>
          <w:bCs w:val="0"/>
          <w:sz w:val="32"/>
          <w:szCs w:val="32"/>
        </w:rPr>
        <w:t>的重要作用。同时，认真落实国务院《信访条例》和《河南省信访条例》，强化属地责任，畅通信访渠道，健全网上信访机制，及时就地解决群众合理诉求，努力从源头上预防</w:t>
      </w:r>
      <w:r>
        <w:rPr>
          <w:rFonts w:hint="eastAsia" w:ascii="仿宋_GB2312" w:hAnsi="仿宋_GB2312" w:eastAsia="仿宋_GB2312" w:cs="仿宋_GB2312"/>
          <w:b w:val="0"/>
          <w:bCs w:val="0"/>
          <w:sz w:val="32"/>
          <w:szCs w:val="32"/>
          <w:highlight w:val="none"/>
        </w:rPr>
        <w:t>和减少信访问题发生。截至目前，共开展各类矛盾纠纷排查700余次，接待信访群众</w:t>
      </w:r>
      <w:r>
        <w:rPr>
          <w:rFonts w:hint="eastAsia" w:ascii="仿宋_GB2312" w:hAnsi="仿宋_GB2312" w:eastAsia="仿宋_GB2312" w:cs="仿宋_GB2312"/>
          <w:b w:val="0"/>
          <w:bCs w:val="0"/>
          <w:sz w:val="32"/>
          <w:szCs w:val="32"/>
          <w:highlight w:val="none"/>
          <w:lang w:val="en-US" w:eastAsia="zh-CN"/>
        </w:rPr>
        <w:t>56</w:t>
      </w:r>
      <w:r>
        <w:rPr>
          <w:rFonts w:hint="eastAsia" w:ascii="仿宋_GB2312" w:hAnsi="仿宋_GB2312" w:eastAsia="仿宋_GB2312" w:cs="仿宋_GB2312"/>
          <w:b w:val="0"/>
          <w:bCs w:val="0"/>
          <w:sz w:val="32"/>
          <w:szCs w:val="32"/>
          <w:highlight w:val="none"/>
        </w:rPr>
        <w:t>批10</w:t>
      </w: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rPr>
        <w:t>人次，解答问题</w:t>
      </w:r>
      <w:r>
        <w:rPr>
          <w:rFonts w:hint="eastAsia" w:ascii="仿宋_GB2312" w:hAnsi="仿宋_GB2312" w:eastAsia="仿宋_GB2312" w:cs="仿宋_GB2312"/>
          <w:b w:val="0"/>
          <w:bCs w:val="0"/>
          <w:sz w:val="32"/>
          <w:szCs w:val="32"/>
          <w:highlight w:val="none"/>
          <w:lang w:val="en-US" w:eastAsia="zh-CN"/>
        </w:rPr>
        <w:t>294</w:t>
      </w:r>
      <w:r>
        <w:rPr>
          <w:rFonts w:hint="eastAsia" w:ascii="仿宋_GB2312" w:hAnsi="仿宋_GB2312" w:eastAsia="仿宋_GB2312" w:cs="仿宋_GB2312"/>
          <w:b w:val="0"/>
          <w:bCs w:val="0"/>
          <w:sz w:val="32"/>
          <w:szCs w:val="32"/>
          <w:highlight w:val="none"/>
        </w:rPr>
        <w:t>次，调处矛盾纠纷</w:t>
      </w:r>
      <w:r>
        <w:rPr>
          <w:rFonts w:hint="eastAsia" w:ascii="仿宋_GB2312" w:hAnsi="仿宋_GB2312" w:eastAsia="仿宋_GB2312" w:cs="仿宋_GB2312"/>
          <w:b w:val="0"/>
          <w:bCs w:val="0"/>
          <w:sz w:val="32"/>
          <w:szCs w:val="32"/>
          <w:highlight w:val="none"/>
          <w:lang w:val="en-US" w:eastAsia="zh-CN"/>
        </w:rPr>
        <w:t>117</w:t>
      </w:r>
      <w:r>
        <w:rPr>
          <w:rFonts w:hint="eastAsia" w:ascii="仿宋_GB2312" w:hAnsi="仿宋_GB2312" w:eastAsia="仿宋_GB2312" w:cs="仿宋_GB2312"/>
          <w:b w:val="0"/>
          <w:bCs w:val="0"/>
          <w:sz w:val="32"/>
          <w:szCs w:val="32"/>
          <w:highlight w:val="none"/>
        </w:rPr>
        <w:t>件，受理12345热线167件、信访案件8</w:t>
      </w:r>
      <w:r>
        <w:rPr>
          <w:rFonts w:hint="eastAsia" w:ascii="仿宋_GB2312" w:hAnsi="仿宋_GB2312" w:eastAsia="仿宋_GB2312" w:cs="仿宋_GB2312"/>
          <w:b w:val="0"/>
          <w:bCs w:val="0"/>
          <w:sz w:val="32"/>
          <w:szCs w:val="32"/>
          <w:highlight w:val="none"/>
          <w:lang w:val="en-US" w:eastAsia="zh-CN"/>
        </w:rPr>
        <w:t>7</w:t>
      </w:r>
      <w:r>
        <w:rPr>
          <w:rFonts w:hint="eastAsia" w:ascii="仿宋_GB2312" w:hAnsi="仿宋_GB2312" w:eastAsia="仿宋_GB2312" w:cs="仿宋_GB2312"/>
          <w:b w:val="0"/>
          <w:bCs w:val="0"/>
          <w:sz w:val="32"/>
          <w:szCs w:val="32"/>
          <w:highlight w:val="none"/>
        </w:rPr>
        <w:t>件，受理及办结率100%。</w:t>
      </w:r>
    </w:p>
    <w:p w14:paraId="2430F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三、2025年推进法治政府建设存在的不足、原因和问题整改情况</w:t>
      </w:r>
    </w:p>
    <w:p w14:paraId="4818C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年，我镇法治政府建设工作虽取得一些成绩，但仍存在一些薄弱环节：</w:t>
      </w:r>
    </w:p>
    <w:p w14:paraId="1A6215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一是法治宣传的精准性和实效性有待增强</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部分普法活动仍存在形式相对单一、内容针对性不强、与群众互动不足的问题，对农村老年人、外出务工人员等特定群体的普法覆盖不够到位，普法效果评估机制尚不完善。</w:t>
      </w:r>
      <w:r>
        <w:rPr>
          <w:rFonts w:hint="eastAsia" w:ascii="仿宋_GB2312" w:hAnsi="仿宋_GB2312" w:eastAsia="仿宋_GB2312" w:cs="仿宋_GB2312"/>
          <w:b/>
          <w:bCs/>
          <w:sz w:val="32"/>
          <w:szCs w:val="32"/>
        </w:rPr>
        <w:t>主要原因</w:t>
      </w:r>
      <w:r>
        <w:rPr>
          <w:rFonts w:hint="eastAsia" w:ascii="仿宋_GB2312" w:hAnsi="仿宋_GB2312" w:eastAsia="仿宋_GB2312" w:cs="仿宋_GB2312"/>
          <w:sz w:val="32"/>
          <w:szCs w:val="32"/>
        </w:rPr>
        <w:t>在于创新意识不够强，对新媒体普法手段运用不够娴熟，普法资源整合和投入仍有提升空间。</w:t>
      </w: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：策划更具互动性的普法项目，如乡村巡回讲堂、法治文艺下乡等；加强普法志愿者队伍建设，针对不同群体定制普法内容；尝试运用短视频等更生动形式进行普法。</w:t>
      </w:r>
    </w:p>
    <w:p w14:paraId="2342C6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二是行政执法规范化水平需持续提升。</w:t>
      </w:r>
      <w:r>
        <w:rPr>
          <w:rFonts w:hint="eastAsia" w:ascii="仿宋_GB2312" w:hAnsi="仿宋_GB2312" w:eastAsia="仿宋_GB2312" w:cs="仿宋_GB2312"/>
          <w:sz w:val="32"/>
          <w:szCs w:val="32"/>
        </w:rPr>
        <w:t>部分执法领域的文书制作、案卷归档还不够规范统一；少数执法人员对新修订法律法规的学习掌握和运用能力有待加强；执法信息化建设相对滞后。</w:t>
      </w:r>
      <w:r>
        <w:rPr>
          <w:rFonts w:hint="eastAsia" w:ascii="仿宋_GB2312" w:hAnsi="仿宋_GB2312" w:eastAsia="仿宋_GB2312" w:cs="仿宋_GB2312"/>
          <w:b/>
          <w:bCs/>
          <w:sz w:val="32"/>
          <w:szCs w:val="32"/>
        </w:rPr>
        <w:t>主要原因</w:t>
      </w:r>
      <w:r>
        <w:rPr>
          <w:rFonts w:hint="eastAsia" w:ascii="仿宋_GB2312" w:hAnsi="仿宋_GB2312" w:eastAsia="仿宋_GB2312" w:cs="仿宋_GB2312"/>
          <w:sz w:val="32"/>
          <w:szCs w:val="32"/>
        </w:rPr>
        <w:t>在于常态化培训的深度和频次有待加强，内部监督考核机制有待进一步细化。</w:t>
      </w: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：组织行政执法案卷评查活动，发现问题并限期整改；制定年度执法培训计划，增加案例教学和实战演练比重；积极争取上级支持，逐步改善执法装备条件。</w:t>
      </w:r>
    </w:p>
    <w:p w14:paraId="334725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三是基层法治队伍专业力量相对薄弱。</w:t>
      </w:r>
      <w:r>
        <w:rPr>
          <w:rFonts w:hint="eastAsia" w:ascii="仿宋_GB2312" w:hAnsi="仿宋_GB2312" w:eastAsia="仿宋_GB2312" w:cs="仿宋_GB2312"/>
          <w:sz w:val="32"/>
          <w:szCs w:val="32"/>
        </w:rPr>
        <w:t>镇级专职法制审核人员配备不足，部分工作人员法律专业背景欠缺；村级法律明白人、人民调解员的作用发挥还不够充分，处理复杂涉法问题的能力有待提高。</w:t>
      </w:r>
      <w:r>
        <w:rPr>
          <w:rFonts w:hint="eastAsia" w:ascii="仿宋_GB2312" w:hAnsi="仿宋_GB2312" w:eastAsia="仿宋_GB2312" w:cs="仿宋_GB2312"/>
          <w:b/>
          <w:bCs/>
          <w:sz w:val="32"/>
          <w:szCs w:val="32"/>
        </w:rPr>
        <w:t>主要原因</w:t>
      </w:r>
      <w:r>
        <w:rPr>
          <w:rFonts w:hint="eastAsia" w:ascii="仿宋_GB2312" w:hAnsi="仿宋_GB2312" w:eastAsia="仿宋_GB2312" w:cs="仿宋_GB2312"/>
          <w:sz w:val="32"/>
          <w:szCs w:val="32"/>
        </w:rPr>
        <w:t>在于基层引进和留住法律专业人才存在客观困难，培训体系的长效性和系统性有待加强。</w:t>
      </w: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：进一步发挥政府法律顾问和驻村法律顾问的作用，弥补内部力量不足；加大对现有工作人员的法治业务培训力度；完善对法律明白人、调解员的激励机制和考核管理。</w:t>
      </w:r>
    </w:p>
    <w:p w14:paraId="6BC5E2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四是法治建设与中心工作融合度有待深化。</w:t>
      </w:r>
      <w:r>
        <w:rPr>
          <w:rFonts w:hint="eastAsia" w:ascii="仿宋_GB2312" w:hAnsi="仿宋_GB2312" w:eastAsia="仿宋_GB2312" w:cs="仿宋_GB2312"/>
          <w:sz w:val="32"/>
          <w:szCs w:val="32"/>
        </w:rPr>
        <w:t>将法治思维和法治方式融入优化营商环境、推进乡村振兴、加强生态保护、保障改善民生等具体工作的自觉性、系统性还不够，运用法治手段破解发展难题的案例不多。</w:t>
      </w:r>
      <w:r>
        <w:rPr>
          <w:rFonts w:hint="eastAsia" w:ascii="仿宋_GB2312" w:hAnsi="仿宋_GB2312" w:eastAsia="仿宋_GB2312" w:cs="仿宋_GB2312"/>
          <w:b/>
          <w:bCs/>
          <w:sz w:val="32"/>
          <w:szCs w:val="32"/>
        </w:rPr>
        <w:t>主要原因</w:t>
      </w:r>
      <w:r>
        <w:rPr>
          <w:rFonts w:hint="eastAsia" w:ascii="仿宋_GB2312" w:hAnsi="仿宋_GB2312" w:eastAsia="仿宋_GB2312" w:cs="仿宋_GB2312"/>
          <w:sz w:val="32"/>
          <w:szCs w:val="32"/>
        </w:rPr>
        <w:t>在于部分干部对法治服务保障高质量发展的认识高度和结合能力仍需提升。</w:t>
      </w: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：在部署中心工作时同步强调法治要求，开展专题研讨，鼓励干部探索依法推进工作的有效路径，总结推广成功经验。</w:t>
      </w:r>
    </w:p>
    <w:p w14:paraId="167B7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针对以上问题，我镇坚持即知即改、立行立改与持续整改相结合，已制定相应改进措施并纳入下一年度工作计划，确保问题得到有效解决。</w:t>
      </w:r>
    </w:p>
    <w:p w14:paraId="07798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四、2026年推进法治政府建设的初步安排</w:t>
      </w:r>
    </w:p>
    <w:p w14:paraId="59241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2026年，我镇将坚持问题导向、目标导向和结果导向，重点在以下几个方面持续用力，推动法治政府建设再上新台阶：</w:t>
      </w:r>
    </w:p>
    <w:p w14:paraId="765D9C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（一）持续强化组织领导，在压实责任上求深入。</w:t>
      </w:r>
      <w:r>
        <w:rPr>
          <w:rFonts w:hint="eastAsia" w:ascii="仿宋_GB2312" w:hAnsi="仿宋_GB2312" w:eastAsia="仿宋_GB2312" w:cs="仿宋_GB2312"/>
          <w:sz w:val="32"/>
          <w:szCs w:val="32"/>
        </w:rPr>
        <w:t>进一步完善党政主要负责人履行法治建设第一责任人职责的述职评议和考核机制。强化镇法治建设领导小组的统筹协调功能，定期研究新情况、解决新问题。加大对各村（</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）、各站所法治建设工作督导检查和考核评价力度，确保各项任务落到实处、见到实效。</w:t>
      </w:r>
    </w:p>
    <w:p w14:paraId="3C9CE2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（二）持续深化普法宣传，在提质增效上求突破。</w:t>
      </w:r>
      <w:r>
        <w:rPr>
          <w:rFonts w:hint="eastAsia" w:ascii="仿宋_GB2312" w:hAnsi="仿宋_GB2312" w:eastAsia="仿宋_GB2312" w:cs="仿宋_GB2312"/>
          <w:sz w:val="32"/>
          <w:szCs w:val="32"/>
        </w:rPr>
        <w:t>针对不同群体需求，编制通俗易懂的普法资料，开展互动式普法活动。大力培育乡村法治文化，建设法治文化广场、长廊等阵地。加强新媒体普法平台建设与管理，创作推广优质普法产品。健全普法效果评估反馈机制，提升普法工作的针对性和影响力。</w:t>
      </w:r>
    </w:p>
    <w:p w14:paraId="7EB2D6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（三）持续规范行政执法，在公正文明上求提升。</w:t>
      </w:r>
      <w:r>
        <w:rPr>
          <w:rFonts w:hint="eastAsia" w:ascii="仿宋_GB2312" w:hAnsi="仿宋_GB2312" w:eastAsia="仿宋_GB2312" w:cs="仿宋_GB2312"/>
          <w:sz w:val="32"/>
          <w:szCs w:val="32"/>
        </w:rPr>
        <w:t>严格落实行政执法“三项制度”，推动执法信息全面、及时、准确公示。加强执法过程音像记录规范化管理。</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rPr>
        <w:t>强法制审核力量，确保重大执法决定合法有效。加强执法队伍专业化建设，开展分类分级培训，提升执法能力和服务水平。</w:t>
      </w:r>
    </w:p>
    <w:p w14:paraId="6FB85D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）持续化解矛盾纠纷，在</w:t>
      </w:r>
      <w:bookmarkStart w:id="0" w:name="_GoBack"/>
      <w:bookmarkEnd w:id="0"/>
      <w:r>
        <w:rPr>
          <w:rFonts w:hint="eastAsia" w:ascii="楷体" w:hAnsi="楷体" w:eastAsia="楷体" w:cs="楷体"/>
          <w:b/>
          <w:bCs/>
          <w:sz w:val="32"/>
          <w:szCs w:val="32"/>
        </w:rPr>
        <w:t>治理效能上求强化。</w:t>
      </w:r>
      <w:r>
        <w:rPr>
          <w:rFonts w:hint="eastAsia" w:ascii="仿宋_GB2312" w:hAnsi="仿宋_GB2312" w:eastAsia="仿宋_GB2312" w:cs="仿宋_GB2312"/>
          <w:sz w:val="32"/>
          <w:szCs w:val="32"/>
        </w:rPr>
        <w:t>健全完善矛盾纠纷多元预防调处化解综合机制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提升信访工作法治化水平，依法分类处理信访诉求。做优做强公共法律服务平台，提升服务可及性和满意度。深入推进民主法治示范村（</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）创建提质扩面，提升基层治理法治化水平。</w:t>
      </w:r>
    </w:p>
    <w:p w14:paraId="3F5F9C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五</w:t>
      </w:r>
      <w:r>
        <w:rPr>
          <w:rFonts w:hint="eastAsia" w:ascii="楷体" w:hAnsi="楷体" w:eastAsia="楷体" w:cs="楷体"/>
          <w:b/>
          <w:bCs/>
          <w:sz w:val="32"/>
          <w:szCs w:val="32"/>
        </w:rPr>
        <w:t>）持续加强队伍建设，在能力素质上求过硬。</w:t>
      </w:r>
      <w:r>
        <w:rPr>
          <w:rFonts w:hint="eastAsia" w:ascii="仿宋_GB2312" w:hAnsi="仿宋_GB2312" w:eastAsia="仿宋_GB2312" w:cs="仿宋_GB2312"/>
          <w:sz w:val="32"/>
          <w:szCs w:val="32"/>
        </w:rPr>
        <w:t>加强政府工作人员法治培训，提高运用法治思维和法治方式深化改革、推动发展、化解矛盾、维护稳定、应对风险的能力。健全法律专业人才培养和使用机制，为法治政府建设提供坚实人才保障。</w:t>
      </w:r>
    </w:p>
    <w:p w14:paraId="3CA00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0581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9C43B6B">
      <w:pPr>
        <w:keepNext w:val="0"/>
        <w:keepLines w:val="0"/>
        <w:pageBreakBefore w:val="0"/>
        <w:widowControl w:val="0"/>
        <w:kinsoku/>
        <w:wordWrap/>
        <w:overflowPunct/>
        <w:topLinePunct w:val="0"/>
        <w:autoSpaceDE/>
        <w:autoSpaceDN/>
        <w:bidi w:val="0"/>
        <w:adjustRightInd/>
        <w:snapToGrid/>
        <w:spacing w:line="240" w:lineRule="auto"/>
        <w:ind w:right="840" w:rightChars="400" w:firstLine="0" w:firstLineChars="0"/>
        <w:jc w:val="right"/>
        <w:textAlignment w:val="auto"/>
        <w:rPr>
          <w:rFonts w:hint="eastAsia" w:ascii="仿宋_GB2312" w:hAnsi="仿宋_GB2312" w:eastAsia="仿宋_GB2312" w:cs="仿宋_GB2312"/>
          <w:sz w:val="32"/>
          <w:szCs w:val="32"/>
          <w:lang w:val="en-US" w:eastAsia="zh-CN"/>
        </w:rPr>
      </w:pPr>
    </w:p>
    <w:sectPr>
      <w:footerReference r:id="rId3" w:type="default"/>
      <w:pgSz w:w="11906" w:h="16838"/>
      <w:pgMar w:top="1723"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5232">
    <w:pPr>
      <w:spacing w:line="173" w:lineRule="auto"/>
      <w:ind w:left="4489"/>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7DB0D">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F7DB0D">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7D776"/>
    <w:multiLevelType w:val="singleLevel"/>
    <w:tmpl w:val="A987D7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NDY0ZTExZGQwMjYzYzIwNmM4YWU2Mjk1MzJhNWIifQ=="/>
  </w:docVars>
  <w:rsids>
    <w:rsidRoot w:val="21AD344F"/>
    <w:rsid w:val="000C208B"/>
    <w:rsid w:val="005D2854"/>
    <w:rsid w:val="00E32D5A"/>
    <w:rsid w:val="015242D0"/>
    <w:rsid w:val="01633637"/>
    <w:rsid w:val="01804A4C"/>
    <w:rsid w:val="02BA743D"/>
    <w:rsid w:val="0313544C"/>
    <w:rsid w:val="03A96CEF"/>
    <w:rsid w:val="05542BE1"/>
    <w:rsid w:val="057A0757"/>
    <w:rsid w:val="057E5F02"/>
    <w:rsid w:val="059C5BCD"/>
    <w:rsid w:val="06114B40"/>
    <w:rsid w:val="067D77AC"/>
    <w:rsid w:val="06B476DA"/>
    <w:rsid w:val="079D0DD4"/>
    <w:rsid w:val="0915392E"/>
    <w:rsid w:val="09324404"/>
    <w:rsid w:val="09E06664"/>
    <w:rsid w:val="0A3E3B3F"/>
    <w:rsid w:val="0AB768F7"/>
    <w:rsid w:val="0AE71698"/>
    <w:rsid w:val="0B09087D"/>
    <w:rsid w:val="0BEA57CC"/>
    <w:rsid w:val="0BFC5617"/>
    <w:rsid w:val="0C123C67"/>
    <w:rsid w:val="0C392992"/>
    <w:rsid w:val="0C6E02C3"/>
    <w:rsid w:val="0D22719E"/>
    <w:rsid w:val="0D5D0272"/>
    <w:rsid w:val="0DE449E7"/>
    <w:rsid w:val="0E26072A"/>
    <w:rsid w:val="0EF52637"/>
    <w:rsid w:val="0F2A3E1A"/>
    <w:rsid w:val="0F700AFB"/>
    <w:rsid w:val="108871AD"/>
    <w:rsid w:val="1096176D"/>
    <w:rsid w:val="115E3FF5"/>
    <w:rsid w:val="11EC75A6"/>
    <w:rsid w:val="12360F65"/>
    <w:rsid w:val="123C01CE"/>
    <w:rsid w:val="124D097B"/>
    <w:rsid w:val="13747240"/>
    <w:rsid w:val="13B046A0"/>
    <w:rsid w:val="13F13588"/>
    <w:rsid w:val="13F508F0"/>
    <w:rsid w:val="141E7961"/>
    <w:rsid w:val="14EA47E8"/>
    <w:rsid w:val="14EF7885"/>
    <w:rsid w:val="15026D53"/>
    <w:rsid w:val="157D086D"/>
    <w:rsid w:val="159E26D3"/>
    <w:rsid w:val="16311102"/>
    <w:rsid w:val="167F3D5F"/>
    <w:rsid w:val="16866735"/>
    <w:rsid w:val="16B4754E"/>
    <w:rsid w:val="173F0FC8"/>
    <w:rsid w:val="1740037B"/>
    <w:rsid w:val="174165D4"/>
    <w:rsid w:val="17793BD2"/>
    <w:rsid w:val="178266FA"/>
    <w:rsid w:val="18317D45"/>
    <w:rsid w:val="188A294B"/>
    <w:rsid w:val="18F167A4"/>
    <w:rsid w:val="191C393B"/>
    <w:rsid w:val="193D63F7"/>
    <w:rsid w:val="1B0138A5"/>
    <w:rsid w:val="1B2F599A"/>
    <w:rsid w:val="1B9311DB"/>
    <w:rsid w:val="1C132717"/>
    <w:rsid w:val="1C8F731D"/>
    <w:rsid w:val="1D97496D"/>
    <w:rsid w:val="1DC616E2"/>
    <w:rsid w:val="1DD90102"/>
    <w:rsid w:val="1E6F1C79"/>
    <w:rsid w:val="1EE53CE9"/>
    <w:rsid w:val="1FDB7183"/>
    <w:rsid w:val="204131A1"/>
    <w:rsid w:val="20803CC9"/>
    <w:rsid w:val="21197FBB"/>
    <w:rsid w:val="21AD344F"/>
    <w:rsid w:val="23A7769B"/>
    <w:rsid w:val="2453473C"/>
    <w:rsid w:val="2480698E"/>
    <w:rsid w:val="24CE594B"/>
    <w:rsid w:val="24E4780B"/>
    <w:rsid w:val="253F4153"/>
    <w:rsid w:val="25E57747"/>
    <w:rsid w:val="26E1123A"/>
    <w:rsid w:val="27A42993"/>
    <w:rsid w:val="27A42E33"/>
    <w:rsid w:val="27A65DCD"/>
    <w:rsid w:val="28506677"/>
    <w:rsid w:val="28B5472C"/>
    <w:rsid w:val="28C8445F"/>
    <w:rsid w:val="29034E70"/>
    <w:rsid w:val="29F3375E"/>
    <w:rsid w:val="2AB35532"/>
    <w:rsid w:val="2AE414C5"/>
    <w:rsid w:val="2B277229"/>
    <w:rsid w:val="2BD4136D"/>
    <w:rsid w:val="2E4E7390"/>
    <w:rsid w:val="2FBB23E2"/>
    <w:rsid w:val="30BA4FD6"/>
    <w:rsid w:val="30C6397A"/>
    <w:rsid w:val="30CE387C"/>
    <w:rsid w:val="30F45511"/>
    <w:rsid w:val="32E67B19"/>
    <w:rsid w:val="334D3EDF"/>
    <w:rsid w:val="33774CFE"/>
    <w:rsid w:val="339F41E5"/>
    <w:rsid w:val="33E3647C"/>
    <w:rsid w:val="34002887"/>
    <w:rsid w:val="341777B2"/>
    <w:rsid w:val="342D0675"/>
    <w:rsid w:val="349A027D"/>
    <w:rsid w:val="34FA1E45"/>
    <w:rsid w:val="3503543E"/>
    <w:rsid w:val="351D6011"/>
    <w:rsid w:val="35402FDA"/>
    <w:rsid w:val="364056DE"/>
    <w:rsid w:val="36F65934"/>
    <w:rsid w:val="37D22E41"/>
    <w:rsid w:val="37EF7D8F"/>
    <w:rsid w:val="38A07AF3"/>
    <w:rsid w:val="39BF5DEB"/>
    <w:rsid w:val="3AA73853"/>
    <w:rsid w:val="3AF25BC9"/>
    <w:rsid w:val="3B213929"/>
    <w:rsid w:val="3C0B2B89"/>
    <w:rsid w:val="3C9B3F0D"/>
    <w:rsid w:val="3CDB2774"/>
    <w:rsid w:val="3D964E0F"/>
    <w:rsid w:val="3DA84582"/>
    <w:rsid w:val="3DE44277"/>
    <w:rsid w:val="3E4E569E"/>
    <w:rsid w:val="405859CE"/>
    <w:rsid w:val="408D689F"/>
    <w:rsid w:val="40BC2256"/>
    <w:rsid w:val="40DB3FA2"/>
    <w:rsid w:val="40EA7211"/>
    <w:rsid w:val="41166A41"/>
    <w:rsid w:val="415475F9"/>
    <w:rsid w:val="42D34BD2"/>
    <w:rsid w:val="43243DE1"/>
    <w:rsid w:val="43474CF5"/>
    <w:rsid w:val="44DD6F55"/>
    <w:rsid w:val="452F7306"/>
    <w:rsid w:val="45C80E3A"/>
    <w:rsid w:val="46A0180D"/>
    <w:rsid w:val="46C84672"/>
    <w:rsid w:val="472A2A5F"/>
    <w:rsid w:val="47E1592C"/>
    <w:rsid w:val="496D3CE1"/>
    <w:rsid w:val="498F78EC"/>
    <w:rsid w:val="49E53857"/>
    <w:rsid w:val="4A6534B4"/>
    <w:rsid w:val="4A9B2B0A"/>
    <w:rsid w:val="4AD83C6F"/>
    <w:rsid w:val="4B8944E7"/>
    <w:rsid w:val="4BCA5494"/>
    <w:rsid w:val="4C160075"/>
    <w:rsid w:val="4C6D6532"/>
    <w:rsid w:val="4C7402D7"/>
    <w:rsid w:val="4E04568A"/>
    <w:rsid w:val="4E543561"/>
    <w:rsid w:val="501F65AB"/>
    <w:rsid w:val="504D7299"/>
    <w:rsid w:val="5340007C"/>
    <w:rsid w:val="54532BF8"/>
    <w:rsid w:val="54C34303"/>
    <w:rsid w:val="551F4BA2"/>
    <w:rsid w:val="555B5DDC"/>
    <w:rsid w:val="55A25CD9"/>
    <w:rsid w:val="56191BF1"/>
    <w:rsid w:val="57144A6E"/>
    <w:rsid w:val="572C7C1C"/>
    <w:rsid w:val="57D46EF7"/>
    <w:rsid w:val="582B03E3"/>
    <w:rsid w:val="58A7652C"/>
    <w:rsid w:val="59036C6A"/>
    <w:rsid w:val="59A3044D"/>
    <w:rsid w:val="5A296FAA"/>
    <w:rsid w:val="5A570801"/>
    <w:rsid w:val="5A5C25FE"/>
    <w:rsid w:val="5AC263E4"/>
    <w:rsid w:val="5BA109BC"/>
    <w:rsid w:val="5BD15593"/>
    <w:rsid w:val="5C8774B6"/>
    <w:rsid w:val="5C904CB9"/>
    <w:rsid w:val="5DE63F84"/>
    <w:rsid w:val="5ECF505D"/>
    <w:rsid w:val="5FA81404"/>
    <w:rsid w:val="5FA84241"/>
    <w:rsid w:val="607302B4"/>
    <w:rsid w:val="6136751D"/>
    <w:rsid w:val="61DC639E"/>
    <w:rsid w:val="621751B4"/>
    <w:rsid w:val="625345FB"/>
    <w:rsid w:val="62554E07"/>
    <w:rsid w:val="629372B1"/>
    <w:rsid w:val="62C5540C"/>
    <w:rsid w:val="62CB4646"/>
    <w:rsid w:val="64B5084A"/>
    <w:rsid w:val="64C272E4"/>
    <w:rsid w:val="64E12F1A"/>
    <w:rsid w:val="658C1252"/>
    <w:rsid w:val="65BF03BD"/>
    <w:rsid w:val="66625F75"/>
    <w:rsid w:val="66A44CBD"/>
    <w:rsid w:val="66CF4821"/>
    <w:rsid w:val="66FF46A4"/>
    <w:rsid w:val="677662A3"/>
    <w:rsid w:val="67A320B8"/>
    <w:rsid w:val="68034CC7"/>
    <w:rsid w:val="6853628C"/>
    <w:rsid w:val="68866F70"/>
    <w:rsid w:val="69023A23"/>
    <w:rsid w:val="69C61149"/>
    <w:rsid w:val="6A6D4B16"/>
    <w:rsid w:val="6AA30BD8"/>
    <w:rsid w:val="6B26150D"/>
    <w:rsid w:val="6B954B2A"/>
    <w:rsid w:val="6C7C746F"/>
    <w:rsid w:val="6CA9147F"/>
    <w:rsid w:val="6D744B5F"/>
    <w:rsid w:val="6DFA5A2C"/>
    <w:rsid w:val="6E183775"/>
    <w:rsid w:val="6ED570BB"/>
    <w:rsid w:val="6F897436"/>
    <w:rsid w:val="70530EA0"/>
    <w:rsid w:val="706A53C9"/>
    <w:rsid w:val="70B76887"/>
    <w:rsid w:val="725E4213"/>
    <w:rsid w:val="72A97FDC"/>
    <w:rsid w:val="72D8009B"/>
    <w:rsid w:val="736D78AF"/>
    <w:rsid w:val="74A502D8"/>
    <w:rsid w:val="752627B2"/>
    <w:rsid w:val="760A51F3"/>
    <w:rsid w:val="764158CF"/>
    <w:rsid w:val="76487F5B"/>
    <w:rsid w:val="76DD03FB"/>
    <w:rsid w:val="7746449A"/>
    <w:rsid w:val="77CB3D77"/>
    <w:rsid w:val="78A64125"/>
    <w:rsid w:val="79F847E3"/>
    <w:rsid w:val="7A342CD0"/>
    <w:rsid w:val="7ACE45F2"/>
    <w:rsid w:val="7B947908"/>
    <w:rsid w:val="7BB52A16"/>
    <w:rsid w:val="7C0D4B58"/>
    <w:rsid w:val="7C694758"/>
    <w:rsid w:val="7C8810B1"/>
    <w:rsid w:val="7D4E1EEA"/>
    <w:rsid w:val="7E9B345B"/>
    <w:rsid w:val="7EB82175"/>
    <w:rsid w:val="7F1F2B13"/>
    <w:rsid w:val="7F486405"/>
    <w:rsid w:val="7F87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ind w:left="0" w:firstLine="1169" w:firstLineChars="200"/>
    </w:pPr>
    <w:rPr>
      <w:rFonts w:eastAsia="仿宋_GB2312"/>
      <w:sz w:val="32"/>
      <w:szCs w:val="32"/>
    </w:rPr>
  </w:style>
  <w:style w:type="paragraph" w:styleId="5">
    <w:name w:val="Normal Indent"/>
    <w:basedOn w:val="1"/>
    <w:next w:val="1"/>
    <w:autoRedefine/>
    <w:qFormat/>
    <w:uiPriority w:val="0"/>
    <w:pPr>
      <w:ind w:firstLine="420" w:firstLineChars="200"/>
    </w:pPr>
    <w:rPr>
      <w:rFonts w:ascii="Calibri" w:hAnsi="Calibri" w:eastAsia="仿宋"/>
      <w:sz w:val="32"/>
    </w:rPr>
  </w:style>
  <w:style w:type="paragraph" w:styleId="6">
    <w:name w:val="Body Text Indent"/>
    <w:basedOn w:val="1"/>
    <w:autoRedefine/>
    <w:unhideWhenUsed/>
    <w:qFormat/>
    <w:uiPriority w:val="99"/>
    <w:pPr>
      <w:spacing w:line="640" w:lineRule="exact"/>
      <w:ind w:firstLine="630"/>
    </w:pPr>
    <w:rPr>
      <w:rFonts w:eastAsia="仿宋_GB2312"/>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autoRedefine/>
    <w:unhideWhenUsed/>
    <w:qFormat/>
    <w:uiPriority w:val="99"/>
    <w:pPr>
      <w:snapToGrid w:val="0"/>
      <w:jc w:val="left"/>
    </w:pPr>
    <w:rPr>
      <w:sz w:val="18"/>
      <w:szCs w:val="18"/>
    </w:rPr>
  </w:style>
  <w:style w:type="paragraph" w:styleId="10">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pPr>
    <w:rPr>
      <w:kern w:val="0"/>
      <w:sz w:val="24"/>
      <w:lang w:val="en-US" w:eastAsia="zh-CN" w:bidi="ar"/>
    </w:rPr>
  </w:style>
  <w:style w:type="paragraph" w:styleId="11">
    <w:name w:val="Body Text First Indent 2"/>
    <w:basedOn w:val="6"/>
    <w:next w:val="1"/>
    <w:autoRedefine/>
    <w:unhideWhenUsed/>
    <w:qFormat/>
    <w:uiPriority w:val="99"/>
    <w:pPr>
      <w:spacing w:line="560" w:lineRule="exact"/>
      <w:ind w:firstLine="200"/>
    </w:pPr>
    <w:rPr>
      <w:rFonts w:eastAsia="仿宋"/>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paragraph" w:customStyle="1" w:styleId="16">
    <w:name w:val="正文 首缩2"/>
    <w:basedOn w:val="5"/>
    <w:next w:val="11"/>
    <w:qFormat/>
    <w:uiPriority w:val="0"/>
    <w:pPr>
      <w:ind w:firstLine="560"/>
    </w:pPr>
    <w:rPr>
      <w:szCs w:val="36"/>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NormalCharacter"/>
    <w:semiHidden/>
    <w:qFormat/>
    <w:uiPriority w:val="0"/>
    <w:rPr>
      <w:rFonts w:ascii="Calibri" w:hAnsi="Calibri" w:eastAsia="宋体" w:cs="Times New Roman"/>
      <w:b/>
      <w:spacing w:val="-11"/>
      <w:kern w:val="2"/>
      <w:sz w:val="44"/>
      <w:szCs w:val="44"/>
      <w:lang w:val="en-US" w:eastAsia="zh-CN" w:bidi="ar-SA"/>
    </w:rPr>
  </w:style>
  <w:style w:type="paragraph" w:customStyle="1" w:styleId="19">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0">
    <w:name w:val="Body Text First Indent1"/>
    <w:basedOn w:val="2"/>
    <w:qFormat/>
    <w:uiPriority w:val="99"/>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61;&#21644;&#38215;&#24037;&#20316;&#25991;&#20214;\2.&#25919;&#24220;&#21457;&#25991;&#22791;&#20221;\2025\&#20161;&#25919;&#12308;2025&#12309;66&#21495;%20&#20851;&#20110;&#23545;2025&#24180;&#28514;&#24029;&#21439;&#20161;&#21644;&#38215;&#20892;&#20135;&#21697;&#21152;&#24037;&#20013;&#24515;&#24314;&#35774;&#39033;&#30446;&#12289;2025&#24180;&#28514;&#24029;&#21439;&#20161;&#21644;&#38215;&#26377;&#26426;&#31181;&#26893;&#22253;&#24314;&#35774;&#39033;&#30446;&#36827;&#34892;&#36130;&#25919;&#35780;&#23457;&#30340;&#35831;&#3103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bbde7125-ade5-41ee-a189-de3ee7fe9830</errorID>
      <errorWord>关于潢川县</errorWord>
      <group>L1_Grammar</group>
      <groupName>语法问题</groupName>
      <ability>L2_Order</ability>
      <abilityName>语序不当</abilityName>
      <candidateList>
        <item>潢川县</item>
      </candidateList>
      <explain>句子可能没有遵循时空、逻辑顺序，或者介词、关联词等位置不当。</explain>
      <paraID>43C3FF87</paraID>
      <start>0</start>
      <end>5</end>
      <status>unmodified</status>
      <modifiedWord/>
      <trackRevisions>false</trackRevisions>
    </reviewItem>
    <reviewItem>
      <errorID>a8cb59f1-e289-4842-a692-32c08ec70dbe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18828A06</paraID>
      <start>58</start>
      <end>61</end>
      <status>unmodified</status>
      <modifiedWord/>
      <trackRevisions>false</trackRevisions>
    </reviewItem>
    <reviewItem>
      <errorID>dcf090a7-97ba-4152-bcf0-c167a09ac948</errorID>
      <errorWord>，</errorWord>
      <group>L1_Grammar</group>
      <groupName>语法问题</groupName>
      <ability>L2_Order</ability>
      <abilityName>语序不当</abilityName>
      <candidateList>
        <item>工作，</item>
      </candidateList>
      <explain>句子可能没有遵循时空、逻辑顺序，或者介词、关联词等位置不当。</explain>
      <paraID>50126E67</paraID>
      <start>39</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1fff0-2e76-4baa-b142-bd2d42ddfe15}">
  <ds:schemaRefs/>
</ds:datastoreItem>
</file>

<file path=docProps/app.xml><?xml version="1.0" encoding="utf-8"?>
<Properties xmlns="http://schemas.openxmlformats.org/officeDocument/2006/extended-properties" xmlns:vt="http://schemas.openxmlformats.org/officeDocument/2006/docPropsVTypes">
  <Template>仁政〔2025〕66号 关于对2025年潢川县仁和镇农产品加工中心建设项目、2025年潢川县仁和镇有机种植园建设项目进行财政评审的请示.docx</Template>
  <Pages>7</Pages>
  <Words>3925</Words>
  <Characters>3996</Characters>
  <Lines>0</Lines>
  <Paragraphs>0</Paragraphs>
  <TotalTime>32</TotalTime>
  <ScaleCrop>false</ScaleCrop>
  <LinksUpToDate>false</LinksUpToDate>
  <CharactersWithSpaces>4061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2025-10-16T02:35:00Z</dcterms:created>
  <dc:creator>tree- </dc:creator>
  <cp:lastModifiedBy>路娇娇</cp:lastModifiedBy>
  <cp:lastPrinted>2025-12-05T02:01:00Z</cp:lastPrinted>
  <dcterms:modified xsi:type="dcterms:W3CDTF">2026-02-12T02:05:51Z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8E707E96A4DE4AE5BF57B5D882563DB0_13</vt:lpwstr>
  </property>
  <property fmtid="{D5CDD505-2E9C-101B-9397-08002B2CF9AE}" pid="4" name="KSOTemplateDocerSaveRecord">
    <vt:lpwstr>eyJoZGlkIjoiYzViZWFmODM1ZGVkNjBmYjQyNTNhNDg3NGE5OTRmNTYiLCJ1c2VySWQiOiIyNzE1Njg1MTcifQ==</vt:lpwstr>
  </property>
</Properties>
</file>