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B30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1" w:lineRule="auto"/>
        <w:jc w:val="center"/>
        <w:textAlignment w:val="baseline"/>
        <w:outlineLvl w:val="0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ascii="黑体" w:hAnsi="黑体" w:eastAsia="黑体" w:cs="黑体"/>
          <w:b w:val="0"/>
          <w:bCs w:val="0"/>
          <w:spacing w:val="2"/>
          <w:sz w:val="44"/>
          <w:szCs w:val="44"/>
        </w:rPr>
        <w:t>潢川县</w:t>
      </w: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"/>
          <w:sz w:val="44"/>
          <w:szCs w:val="44"/>
        </w:rPr>
        <w:t>人民政府办公室</w:t>
      </w:r>
    </w:p>
    <w:p w14:paraId="6BD355D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center"/>
        <w:textAlignment w:val="baseline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sectPr>
          <w:footerReference r:id="rId5" w:type="default"/>
          <w:pgSz w:w="12150" w:h="17090"/>
          <w:pgMar w:top="1387" w:right="1600" w:bottom="1202" w:left="1822" w:header="0" w:footer="1094" w:gutter="0"/>
          <w:cols w:equalWidth="0" w:num="2">
            <w:col w:w="7436" w:space="27"/>
            <w:col w:w="1265"/>
          </w:cols>
        </w:sectPr>
      </w:pPr>
      <w:r>
        <w:rPr>
          <w:rFonts w:hint="eastAsia" w:ascii="黑体" w:hAnsi="黑体" w:eastAsia="黑体" w:cs="黑体"/>
          <w:b w:val="0"/>
          <w:bCs w:val="0"/>
          <w:spacing w:val="8"/>
          <w:sz w:val="44"/>
          <w:szCs w:val="44"/>
          <w:lang w:val="en-US" w:eastAsia="zh-CN"/>
        </w:rPr>
        <w:t xml:space="preserve"> 关于</w:t>
      </w:r>
      <w:r>
        <w:rPr>
          <w:rFonts w:ascii="黑体" w:hAnsi="黑体" w:eastAsia="黑体" w:cs="黑体"/>
          <w:b w:val="0"/>
          <w:bCs w:val="0"/>
          <w:spacing w:val="8"/>
          <w:sz w:val="44"/>
          <w:szCs w:val="44"/>
        </w:rPr>
        <w:t>2025年法治政府建设</w:t>
      </w:r>
      <w:r>
        <w:rPr>
          <w:rFonts w:hint="eastAsia" w:ascii="黑体" w:hAnsi="黑体" w:eastAsia="黑体" w:cs="黑体"/>
          <w:b w:val="0"/>
          <w:bCs w:val="0"/>
          <w:spacing w:val="8"/>
          <w:sz w:val="44"/>
          <w:szCs w:val="44"/>
          <w:lang w:val="en-US" w:eastAsia="zh-CN"/>
        </w:rPr>
        <w:t>情况的</w:t>
      </w:r>
      <w:r>
        <w:rPr>
          <w:rFonts w:ascii="黑体" w:hAnsi="黑体" w:eastAsia="黑体" w:cs="黑体"/>
          <w:b w:val="0"/>
          <w:bCs w:val="0"/>
          <w:spacing w:val="8"/>
          <w:sz w:val="44"/>
          <w:szCs w:val="44"/>
        </w:rPr>
        <w:t>报告</w:t>
      </w:r>
    </w:p>
    <w:p w14:paraId="3A06EB6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95" w:lineRule="auto"/>
        <w:textAlignment w:val="baseline"/>
        <w:rPr>
          <w:rFonts w:ascii="Arial"/>
          <w:sz w:val="21"/>
        </w:rPr>
      </w:pPr>
    </w:p>
    <w:p w14:paraId="5BB9FA9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9" w:lineRule="auto"/>
        <w:ind w:left="97" w:right="270" w:firstLine="7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2025年，潢川县人民政府办公室持续以习近平新时代中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国特色社会主义思想为指引，深入贯彻党的二十大及二十届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四中全会精神，全面落实习近平法治思想，紧紧围绕县委、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县政府法治政府建设的总体部署，持续巩固2024年法治建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设工作成效，聚焦问题补短板、强化举措提质效，扎实推进法治建设各项工作落地见效，为全县经济社会高质量发展提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供了坚实的法治保障。现将本年度工作情况报告如下：</w:t>
      </w:r>
    </w:p>
    <w:p w14:paraId="3276E8F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3" w:lineRule="auto"/>
        <w:ind w:left="101" w:right="307" w:firstLine="680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一、2025年党政主要负责人履行推进法治建设第一责任人职责，加强法治政府建设的有关情况</w:t>
      </w:r>
    </w:p>
    <w:p w14:paraId="785831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4" w:lineRule="auto"/>
        <w:ind w:leftChars="0" w:right="114" w:rightChars="0" w:firstLine="679" w:firstLineChars="200"/>
        <w:textAlignment w:val="baseline"/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9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pacing w:val="9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扛牢政治责任，统筹谋划推进。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主要负责同志始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终将法治建设作为重大政治任务，纳入办公室整体工作布局，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定期主持召开党组会议专题研究法治建设工作，明确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年度目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标任务、重点举措和责任分工，确保工作有序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推进。将学习贯彻习近平法治思想、依法决策、依法行政等情况，纳入年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度考核和述职述法核心内容，带头接受民主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测评，以鲜明态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度和务实举措推动法治建设各项任务落地见效。</w:t>
      </w:r>
    </w:p>
    <w:p w14:paraId="29F21F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4" w:lineRule="auto"/>
        <w:ind w:leftChars="0" w:right="114" w:rightChars="0" w:firstLine="675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pacing w:val="8"/>
          <w:sz w:val="32"/>
          <w:szCs w:val="32"/>
          <w:lang w:eastAsia="zh-CN"/>
        </w:rPr>
        <w:t>）</w:t>
      </w: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带头尊法学法，发挥示范作用。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主要负责同志坚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持以身作则、以上率下，带头深研细悟法律法规与法治理论，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主动参与各类法治培训和学习交流活动，特邀专家学者开展</w:t>
      </w:r>
    </w:p>
    <w:p w14:paraId="3902D4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2150" w:h="17090"/>
          <w:pgMar w:top="1387" w:right="1600" w:bottom="1202" w:left="1822" w:header="0" w:footer="1094" w:gutter="0"/>
          <w:cols w:equalWidth="0" w:num="1">
            <w:col w:w="8728"/>
          </w:cols>
        </w:sectPr>
      </w:pPr>
    </w:p>
    <w:p w14:paraId="3F912CC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1" w:lineRule="auto"/>
        <w:ind w:left="139" w:right="80" w:firstLine="8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专题法治授课，引领班子成员及全体干部职工牢固树立尊法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学法守法用法理念，厚植机关法治氛围。在重大决策制定、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重要文件审核、重点工作推进等关键环节，始终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严守依法办</w:t>
      </w:r>
      <w:r>
        <w:rPr>
          <w:rFonts w:hint="eastAsia" w:ascii="仿宋_GB2312" w:hAnsi="仿宋_GB2312" w:eastAsia="仿宋_GB2312" w:cs="仿宋_GB2312"/>
          <w:sz w:val="32"/>
          <w:szCs w:val="32"/>
        </w:rPr>
        <w:t>事准则，严格遵循法定权限与程序，以务实行动为全体干部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作出鲜明示范、树立标杆表率。</w:t>
      </w:r>
    </w:p>
    <w:p w14:paraId="0BB2447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4" w:lineRule="auto"/>
        <w:ind w:left="139" w:right="107" w:firstLine="8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</w:rPr>
        <w:t>(三)强化督导问效，狠抓工作落实。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对法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治建设重点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任务实行清单化管理、项目化推进，定期开展督</w:t>
      </w:r>
      <w:r>
        <w:rPr>
          <w:rFonts w:hint="eastAsia" w:ascii="仿宋_GB2312" w:hAnsi="仿宋_GB2312" w:eastAsia="仿宋_GB2312" w:cs="仿宋_GB2312"/>
          <w:sz w:val="32"/>
          <w:szCs w:val="32"/>
        </w:rPr>
        <w:t>导检查，对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工作推进缓慢、落实不力的科室和个人及时约谈提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醒，确保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各项举措落地见效。积极支持配合纪检监察、司法等部门开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展工作，对违法违纪问题坚持“零容忍”,推动形成权责清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晰、监督有力的法治建设工作格局。</w:t>
      </w:r>
    </w:p>
    <w:p w14:paraId="41F43B0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794" w:right="292" w:rightChars="139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二、2025年推进法治政府建设的主要举措</w:t>
      </w: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和成效</w:t>
      </w:r>
    </w:p>
    <w:p w14:paraId="3E0FB17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 w:line="358" w:lineRule="auto"/>
        <w:ind w:left="48" w:leftChars="23" w:right="38" w:rightChars="18" w:firstLine="497" w:firstLineChars="15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(一)深化思想引领，筑牢法治建设根基。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一是强化系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统学习。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将学习贯彻习近平法治思想作为首要政治任务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过专题研讨、法治讲座、座谈交流等多种形式，全年组织党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组(班子)成员集中学习8次，深入研习《中华人民共和国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宪法》《习近平法治思想学习纲要》《行政诉讼法》等重要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法律法规，实现领导干部学法常态化、制度化。同时，将习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近平法治思想纳入干部培训、党员学习核心内容，确保全体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干部深刻领会其核心要义与实践要求，不断提升运用法治思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维和法治方式开展工作的能力。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二是推动学用转化。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建立健全学习成果转化机制，将习近平法治思想学习与办公室文稿</w:t>
      </w:r>
    </w:p>
    <w:p w14:paraId="1997A4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8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2270" w:h="17180"/>
          <w:pgMar w:top="1460" w:right="1840" w:bottom="1257" w:left="1840" w:header="0" w:footer="1076" w:gutter="0"/>
          <w:cols w:space="720" w:num="1"/>
        </w:sectPr>
      </w:pPr>
    </w:p>
    <w:p w14:paraId="17EE951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9" w:lineRule="auto"/>
        <w:ind w:left="128" w:right="34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起草、决策服务、督查落实等核心业务深度融合，要求干部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在公文审核、会议服务、政务督查等具体工作中，自觉运用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法治理念破解难题、规范流程，把学习成效切实体现到依法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履职的全过程、各方面，推动法治思想内化于心、外化于行，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真正实现学思用贯通、知信行统一。</w:t>
      </w:r>
    </w:p>
    <w:p w14:paraId="7A42EFC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128" w:right="379" w:firstLine="870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4"/>
          <w:sz w:val="32"/>
          <w:szCs w:val="32"/>
        </w:rPr>
        <w:t>(二)规范制度执行，提升依法行政水平。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一是优化规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范性文件管理。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进一步完善与县司法局的协同审核机制，严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格执行规范性文件“起草一审核一审议一公布一备案—清理”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全流程管理规范，确保文件时效性与合规性相统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一，形成科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学规范的文件管理体系。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二是健全依法决策机制。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持续完善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公众参与、专家论证、风险评估、合法性审查、集体讨论决定的行政决策机制，明确决策流程各环节责任主体与工作标准，确保每一项决策都于法有据、程序正当、符合民意。</w:t>
      </w:r>
    </w:p>
    <w:p w14:paraId="6AD6DD8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7" w:lineRule="auto"/>
        <w:ind w:left="128" w:right="347" w:firstLine="8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(三)推进政务公开，增强政府工作透明度。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一是完善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公开制度体系。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严格遵循《中华人民共和国政府信息公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开条例》要求，修订优化政府信息公开指南与公开目录，进一步明确公开主体、内容、方式、时限，健全监督保障机制。细化主动公开范围，聚焦财政预决算、重大项目建设、民生政</w:t>
      </w:r>
      <w:r>
        <w:rPr>
          <w:rFonts w:hint="eastAsia" w:ascii="仿宋_GB2312" w:hAnsi="仿宋_GB2312" w:eastAsia="仿宋_GB2312" w:cs="仿宋_GB2312"/>
          <w:sz w:val="32"/>
          <w:szCs w:val="32"/>
        </w:rPr>
        <w:t>策等社会关切热点，明确公开重点，确保公开内容全面规范、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准确及时。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二是创新公开方式方法。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优化县政府门户网站信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息公开专栏，拓展微信公众号等新媒体渠道，形成“网站+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新媒体”公开格局。通过文字、图片、视频、动漫等形式通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俗解读27件政策性文件，全年网站发布各类信息248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9条，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“潢川阳光政务”微信公众号推送便民政策等276条；受理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依申请公开30件、办结县长信箱留言146件，办结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率和群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众满意度均达100%。按时发布政府信息公开年报，准确报送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统计数据，主动接受社会监督。</w:t>
      </w:r>
    </w:p>
    <w:p w14:paraId="4565D95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0" w:lineRule="auto"/>
        <w:ind w:left="118" w:right="109" w:firstLine="854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(四)强化监督问责，规范权力运行流程</w:t>
      </w:r>
      <w:r>
        <w:rPr>
          <w:b/>
          <w:bCs/>
          <w:spacing w:val="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一是深化督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查问责实效。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坚持问题导向，聚焦法治政府建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设重点任务、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重大政策落实情况，积极开展专项督查，严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格落实中央八项规定及其实施细则精神，持续整治形式主义、官僚主义，对不作为、慢作为、乱作为等问题严肃追责问责，充分运用监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督执纪“第一种形态”,做到抓早抓小、防微杜渐，切实规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范权力运行。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二是强化党内监督效能。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严格执行《中国共产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党党内监督条例》,精准落实对“一把手”和领导班子的监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督要求，常态化开展党内政治生活，严肃认真开展批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评和自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我批评。抓实干部职工日常监督管理，对苗头性、倾向性问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题早发现、早提醒、早纠正，进一步强化权力运行制约，筑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牢廉洁用权防线，确保公正用权、依法用权、廉洁用权。</w:t>
      </w:r>
    </w:p>
    <w:p w14:paraId="3DB3B45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763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三、2025年推进法治政府建设存在的问题和原因</w:t>
      </w:r>
    </w:p>
    <w:p w14:paraId="59AF4F8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 w:line="358" w:lineRule="auto"/>
        <w:ind w:left="119" w:right="136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尽管2025年法治建设工作取得了一定成效，但对照新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时代全面依法治国的更高要求，仍存在一些薄弱环节：一是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法治培训的针对性和实效性有待进一步提升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，部分培训内容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与办公室实际工作结合不够紧密，对复杂行政事务中的法治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应用指导不足；二是法治宣传的精准度不足，针对不同群体的个性化普法内容较少，新媒体宣传形式的创新性和吸引力</w:t>
      </w:r>
    </w:p>
    <w:p w14:paraId="6B4190D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8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2210" w:h="17150"/>
          <w:pgMar w:top="1457" w:right="1831" w:bottom="1227" w:left="1831" w:header="0" w:footer="1046" w:gutter="0"/>
          <w:cols w:space="720" w:num="1"/>
        </w:sectPr>
      </w:pPr>
    </w:p>
    <w:p w14:paraId="1CDEEC1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75" w:lineRule="auto"/>
        <w:ind w:left="69" w:right="1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仍需加强；三是个别干部的法治意识和责任担当仍需强化，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在面对复杂问题时，运用法治手段解决问题的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主动性和能力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还有提升空间。</w:t>
      </w:r>
    </w:p>
    <w:p w14:paraId="3283D7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743"/>
        <w:textAlignment w:val="baseline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四、2026年推进法治政府建设的初步安排</w:t>
      </w:r>
    </w:p>
    <w:p w14:paraId="7D6B804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 w:line="365" w:lineRule="auto"/>
        <w:ind w:left="68" w:right="96" w:firstLine="65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接下来，我办将从以下几个方面抓好2026年度法治政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府建设工作：</w:t>
      </w:r>
    </w:p>
    <w:p w14:paraId="7B54092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5" w:lineRule="auto"/>
        <w:ind w:left="0" w:right="81" w:firstLine="8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</w:rPr>
        <w:t>(一)持续深化思想引领，提升法治素养。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坚持把学习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贯彻习近平法治思想引向深入，不断丰富学习形式、优化学习内容，推动法律法规学习与办公室核心业务深度融合，针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对性开展专题化、实战化培训，重点提升干部在公文审核、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决策服务、应急处置等关键工作中的法治应用能力。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建立健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全干部法治素养考核评价机制，将考核结果与评优评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先、晋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升任用直接挂钩，以考核倒逼干部主动学法、规范用法，切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实把法治素养转化为履职实效。</w:t>
      </w:r>
    </w:p>
    <w:p w14:paraId="7FBD8DC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5" w:lineRule="auto"/>
        <w:ind w:left="0" w:right="48" w:firstLine="8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3"/>
          <w:sz w:val="32"/>
          <w:szCs w:val="32"/>
        </w:rPr>
        <w:t>(二)持续规范权力运行，强化制度执行。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严格落实重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大行政决策与行政规范性文件审查机制，从前置审查到制发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核对，再到档案管理，每一步都严格执行，确保所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有环节有法必依、有规必循，形成科学、规范、高效的行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政规范性文件管理体系，不断提升行政决策与执行的规范性和透明度。</w:t>
      </w:r>
    </w:p>
    <w:p w14:paraId="7C219E7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5" w:lineRule="auto"/>
        <w:ind w:left="69" w:firstLine="8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</w:rPr>
        <w:t>(三)持续创新普法宣传，营造良好氛围。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聚焦群众和企业急难愁盼问题，开展“订单式”普法宣传，针对不同群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体定制普法内容，增强宣传的针对性和实效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性。创新新媒体</w:t>
      </w:r>
    </w:p>
    <w:p w14:paraId="5A4BF06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25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8" w:type="default"/>
          <w:pgSz w:w="11940" w:h="16980"/>
          <w:pgMar w:top="1443" w:right="1739" w:bottom="1102" w:left="1791" w:header="0" w:footer="969" w:gutter="0"/>
          <w:cols w:space="720" w:num="1"/>
        </w:sectPr>
      </w:pPr>
    </w:p>
    <w:p w14:paraId="246C84E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76" w:lineRule="auto"/>
        <w:ind w:left="107" w:right="65" w:firstLine="9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宣传形式，提升法治宣传的吸引力和传播力。深化“法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律进机关、进乡村、进社区、进学校、进企业、进单位”活动，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推动法治宣传教育常态化、全覆盖，着力营造全社会尊法学法守法用法的浓厚氛围。</w:t>
      </w:r>
    </w:p>
    <w:p w14:paraId="53CDC9F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107" w:right="32" w:firstLine="8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(四)持续强化监督问责，压实工作责任。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健全法治建设督查考核机制，将法治建设成效纳入科室和个人年度绩效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考核的重要内容，细化考核指标、强化结果运用。加大对违</w:t>
      </w:r>
      <w:r>
        <w:rPr>
          <w:rFonts w:hint="eastAsia" w:ascii="仿宋_GB2312" w:hAnsi="仿宋_GB2312" w:eastAsia="仿宋_GB2312" w:cs="仿宋_GB2312"/>
          <w:sz w:val="32"/>
          <w:szCs w:val="32"/>
        </w:rPr>
        <w:t>法履职、落实不力等问题的问责力度，对苗头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性问题早发现、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早提醒、早纠正，确保法治建设各项工作任务不折不扣落实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到位。同时，加强与司法、纪监等部门的协同配合，形成监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督合力，推动法治建设工作再上新台阶。</w:t>
      </w:r>
    </w:p>
    <w:p w14:paraId="030F495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52" w:lineRule="auto"/>
        <w:ind w:left="107" w:right="2" w:firstLine="6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下一步，潢川县人民政府办公室将以更高标准、更实举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措，持续补短板、强弱项、提质效，不断提升法治建设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为全县法治政府建设和经济社会高质量发展作出新的更大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贡献。</w:t>
      </w:r>
    </w:p>
    <w:sectPr>
      <w:footerReference r:id="rId9" w:type="default"/>
      <w:pgSz w:w="12150" w:h="17080"/>
      <w:pgMar w:top="1451" w:right="1822" w:bottom="1194" w:left="1822" w:header="0" w:footer="10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D65D">
    <w:pPr>
      <w:spacing w:line="170" w:lineRule="auto"/>
      <w:ind w:left="4177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4451">
    <w:pPr>
      <w:spacing w:line="177" w:lineRule="auto"/>
      <w:ind w:left="420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B0E">
    <w:pPr>
      <w:spacing w:line="177" w:lineRule="auto"/>
      <w:ind w:left="418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9645C">
    <w:pPr>
      <w:spacing w:line="171" w:lineRule="auto"/>
      <w:ind w:left="4208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16675">
    <w:pPr>
      <w:spacing w:line="174" w:lineRule="auto"/>
      <w:ind w:left="417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7579D6"/>
    <w:rsid w:val="60D75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3029</Words>
  <Characters>3068</Characters>
  <TotalTime>14</TotalTime>
  <ScaleCrop>false</ScaleCrop>
  <LinksUpToDate>false</LinksUpToDate>
  <CharactersWithSpaces>3069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2026-02-09T08:55:00Z</dcterms:created>
  <dc:creator>Administrator</dc:creator>
  <cp:lastModifiedBy>路娇娇</cp:lastModifiedBy>
  <dcterms:modified xsi:type="dcterms:W3CDTF">2026-03-09T07:03:39Z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2026-02-09T08:55:32Z</vt:filetime>
  </property>
  <property fmtid="{D5CDD505-2E9C-101B-9397-08002B2CF9AE}" pid="4" name="UsrData">
    <vt:lpwstr>69893081d3e451001f689e79wl</vt:lpwstr>
  </property>
  <property fmtid="{D5CDD505-2E9C-101B-9397-08002B2CF9AE}" pid="5" name="KSOTemplateDocerSaveRecord">
    <vt:lpwstr>eyJoZGlkIjoiYzViZWFmODM1ZGVkNjBmYjQyNTNhNDg3NGE5OTRmNTYiLCJ1c2VySWQiOiIyNzE1Njg1MTcifQ==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8181C201D5E042B688E914DB463FBFA5_13</vt:lpwstr>
  </property>
</Properties>
</file>