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4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top"/>
        <w:rPr>
          <w:rFonts w:hint="eastAsia" w:ascii="黑体" w:hAnsi="黑体" w:eastAsia="黑体" w:cs="黑体"/>
          <w:color w:val="000000"/>
          <w:sz w:val="44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36"/>
          <w:lang w:eastAsia="zh-CN"/>
        </w:rPr>
        <w:t>潢川县</w:t>
      </w:r>
      <w:r>
        <w:rPr>
          <w:rFonts w:hint="eastAsia" w:ascii="黑体" w:hAnsi="黑体" w:eastAsia="黑体" w:cs="黑体"/>
          <w:color w:val="000000"/>
          <w:sz w:val="44"/>
          <w:szCs w:val="36"/>
        </w:rPr>
        <w:t>传流店乡</w:t>
      </w:r>
    </w:p>
    <w:p w14:paraId="73286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top"/>
        <w:rPr>
          <w:rFonts w:hint="eastAsia" w:ascii="黑体" w:hAnsi="黑体" w:eastAsia="黑体" w:cs="黑体"/>
          <w:color w:val="000000"/>
          <w:sz w:val="44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36"/>
          <w:lang w:eastAsia="zh-CN"/>
        </w:rPr>
        <w:t>关于</w:t>
      </w:r>
      <w:r>
        <w:rPr>
          <w:rFonts w:hint="eastAsia" w:ascii="黑体" w:hAnsi="黑体" w:eastAsia="黑体" w:cs="黑体"/>
          <w:color w:val="000000"/>
          <w:sz w:val="44"/>
          <w:szCs w:val="36"/>
        </w:rPr>
        <w:t>2025年法治政府建设</w:t>
      </w:r>
      <w:r>
        <w:rPr>
          <w:rFonts w:hint="eastAsia" w:ascii="黑体" w:hAnsi="黑体" w:eastAsia="黑体" w:cs="黑体"/>
          <w:color w:val="000000"/>
          <w:sz w:val="44"/>
          <w:szCs w:val="36"/>
          <w:lang w:eastAsia="zh-CN"/>
        </w:rPr>
        <w:t>情况的</w:t>
      </w:r>
      <w:r>
        <w:rPr>
          <w:rFonts w:hint="eastAsia" w:ascii="黑体" w:hAnsi="黑体" w:eastAsia="黑体" w:cs="黑体"/>
          <w:color w:val="000000"/>
          <w:sz w:val="44"/>
          <w:szCs w:val="36"/>
        </w:rPr>
        <w:t>报告</w:t>
      </w:r>
    </w:p>
    <w:p w14:paraId="10576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</w:rPr>
      </w:pPr>
    </w:p>
    <w:p w14:paraId="286B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2025年，传流店乡坚持以习近平新时代中国特色社会主义思想为指导，全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面贯彻党的二十大及二十届二中、三中、四中全会精神，深学笃行习近平法治思想，以法治赋能乡村振兴，构建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前端预防、中端化解、末端治理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的全链条治理体系，为辖区高质量发展筑牢法治根基。现将工作情况报告如下：</w:t>
      </w:r>
    </w:p>
    <w:p w14:paraId="0A0F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4"/>
        </w:rPr>
        <w:t>一、党政</w:t>
      </w:r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>主要负责人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履职</w:t>
      </w:r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>及加强法治政府建设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情况</w:t>
      </w:r>
    </w:p>
    <w:p w14:paraId="1623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（一）健全领导机制。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乡法治政府建设领导小组，由党政主职担任双组长，构建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党委领导、政府负责、部门协同、村居联动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工作格局。全年召开专题部署会4次、工作汇报会4次，将法治建设纳入党委年度重点任务与绩效考核，实现法治工作与中心工作同部署、同落实、同考评。</w:t>
      </w:r>
    </w:p>
    <w:p w14:paraId="0483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（二）深化思想引领。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把习近平法治思想纳入党委理论中心组必学内容，开展专题研学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次；组织乡村两级干部、行业部门开展学法培训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场次，覆盖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930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余人次，推动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关键少数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带头尊法学法守法用法。</w:t>
      </w:r>
    </w:p>
    <w:p w14:paraId="5E81C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（三）构建普法矩阵。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线上+线下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普法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线上通过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微信公众号开展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法治微课堂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以案释法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等栏目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在11个村文化广场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标准化法治宣传栏，开展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法治进校园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活动12场，组建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法律明白人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志愿服务队，结合反诈、防溺水等主题开展基层宣讲30余场，让法治精神融入群众日常生活。</w:t>
      </w:r>
    </w:p>
    <w:p w14:paraId="1783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4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>2025年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推进法治建设的主要举措和成效</w:t>
      </w:r>
    </w:p>
    <w:p w14:paraId="7510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（一）锻造专业化执法队伍。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实施执法能力提升工程，针对综合行政执法大队开展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务培训12次，内容涵盖行政处罚程序、裁量权基准等重点内容，组织执法资格考试通过率100%，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7名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执法人员全部实现持证上岗。统一执法装备标准，规范执法文书制作，执法规范化水平显著提升。</w:t>
      </w:r>
    </w:p>
    <w:p w14:paraId="61AD7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（二）完善依法行政制度体系。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通过政府公示栏、法治宣传栏等多渠道公开上级赋权的行政处罚事项清单，严格落实行政执法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三项制度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，明确公示、记录、审核全流程标准，确保执法行为可溯可查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全年承办行政处罚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件，公示率100%，实现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阳光执法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。</w:t>
      </w:r>
    </w:p>
    <w:p w14:paraId="3ED8D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（三）创新基层矛盾化解机制。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深度践行新时代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枫桥经验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浦江经验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功宪调解工作室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等特色平台，吸纳法律顾问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乡贤、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老党员、老干部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等力量组建调解队伍。2025年成功调解矛盾纠纷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件，将80%以上的纠纷化解在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乡村两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级，诉源治理成效凸显。</w:t>
      </w:r>
    </w:p>
    <w:p w14:paraId="411F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（四）筑牢安全稳定防线。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开展网格员专题培训6次，内容涵盖纠纷化解、反诈、反邪教等技能，聚焦校园、敬老院等重点场所，组织网格员开展常态化排查，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累计排查场地、楼房超过700家次，及时消除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隐患200余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，实现闭环管理。</w:t>
      </w:r>
    </w:p>
    <w:p w14:paraId="5826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黑体" w:hAnsi="黑体" w:eastAsia="黑体" w:cs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4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>推进法治政府建设存在的不足、原因</w:t>
      </w:r>
    </w:p>
    <w:p w14:paraId="68D8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（一）专业力量供需失衡。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专职法治工作人员仅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名，无法律专业背景人员，面对行政执法、规范性文件审核等专业性工作力不从心，与日益繁重的法治建设任务不相匹配，成为制约工作质效的关键瓶颈。</w:t>
      </w:r>
    </w:p>
    <w:p w14:paraId="22B1D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（二）协同治理机制不健全。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24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司法+执法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联动不够紧密，在处理市长热线交办的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时间久远或历史因素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复杂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的群众矛盾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纠纷时，部门间协同响应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依法行政精准度有待提升。</w:t>
      </w:r>
    </w:p>
    <w:p w14:paraId="6B27D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（三）法治素养有待提升。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部分干部存在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重业务轻法治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倾向，普法学习与实际工作融合不深，运用法治思维解决问题的能力不足；基层普法形式较为传统，新媒体运用不够充分，群众法治参与积极性未充分调动。</w:t>
      </w:r>
    </w:p>
    <w:p w14:paraId="1E7E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4"/>
        </w:rPr>
        <w:t>四、202</w:t>
      </w:r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年推进法治政府建设的初步安排</w:t>
      </w:r>
    </w:p>
    <w:p w14:paraId="67F8F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（一）实施“法治素养提升工程”。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县招乡用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方式补充专业力量，聘请法律顾问参与重大决策审核，开展法治帮扶指导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建立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常态化+专题化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学习机制，将习近平法治思想纳入干部培训必修课程，每月开展1次法治专题研讨，每季度组织1次执法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务演练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。</w:t>
      </w:r>
    </w:p>
    <w:p w14:paraId="01557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（二）构建“协同治理联动体系”。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24"/>
          <w:lang w:eastAsia="zh-CN"/>
        </w:rPr>
        <w:t>构建“乡党委—行政村—网格—微网格—党员群众”五级治理体系，实现“小事不出组、大事不出村”，建立动态风险台账，落实联席会商研判机制，整合综治、司法、信访等部门力量，凝聚工作合力，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力争基层矛盾化解率提升至90%以上。</w:t>
      </w:r>
    </w:p>
    <w:p w14:paraId="333B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24"/>
          <w:lang w:val="en-US" w:eastAsia="zh-CN"/>
        </w:rPr>
        <w:t>（三）打造“数字法治赋能样板”。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优化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12345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热线办理机制，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依托“党建引领基层治理”数字化平台，构建“群众点单、平台派单、‘三长’接单”的“一事一哨”扁平化闭环管理机制，形成群众反映大小事“事事有回应、件件有着落”的良性互动，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确保群众诉求办结率、满意率均达95%以上。</w:t>
      </w:r>
    </w:p>
    <w:tbl>
      <w:tblPr>
        <w:tblStyle w:val="7"/>
        <w:tblpPr w:leftFromText="181" w:rightFromText="181" w:horzAnchor="margin" w:tblpXSpec="center" w:tblpYSpec="bottom"/>
        <w:tblOverlap w:val="never"/>
        <w:tblW w:w="8844" w:type="dxa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single" w:color="000000" w:themeColor="text1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28ECFB1C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0" w:type="dxa"/>
            <w:tcBorders>
              <w:tl2br w:val="nil"/>
              <w:tr2bl w:val="nil"/>
            </w:tcBorders>
            <w:vAlign w:val="bottom"/>
          </w:tcPr>
          <w:p w14:paraId="7AD2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抄送：中共潢川县委全面依法治县委员会办公室</w:t>
            </w:r>
          </w:p>
        </w:tc>
      </w:tr>
      <w:tr w14:paraId="34ECEADA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0" w:type="dxa"/>
            <w:tcBorders>
              <w:tl2br w:val="nil"/>
              <w:tr2bl w:val="nil"/>
            </w:tcBorders>
            <w:vAlign w:val="bottom"/>
          </w:tcPr>
          <w:p w14:paraId="7825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top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传流店乡党政办公室                       2025年12月3日印发</w:t>
            </w:r>
          </w:p>
        </w:tc>
      </w:tr>
    </w:tbl>
    <w:p w14:paraId="4FE2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</w:pPr>
    </w:p>
    <w:sectPr>
      <w:footerReference r:id="rId3" w:type="default"/>
      <w:pgSz w:w="11906" w:h="16838"/>
      <w:pgMar w:top="1701" w:right="170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17AB0A-DB31-43CB-B0FA-A80454F0CF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5701E89-6F60-4D1C-A4EA-F0B9AF4952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4EE716-B6BA-414F-88F1-EA1A4B2E20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3DB842-C8FB-48A5-80C2-3F4449EC6692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A18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9331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9331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DEsImhkaWQiOiI1MWFkYmNiZjcyNTI0NzBlN2MxY2ZmOWIwOTczMDQ2YiIsInVzZXJDb3VudCI6MTh9"/>
  </w:docVars>
  <w:rsids>
    <w:rsidRoot w:val="2FC40386"/>
    <w:rsid w:val="000D0B2F"/>
    <w:rsid w:val="00125861"/>
    <w:rsid w:val="001A213A"/>
    <w:rsid w:val="001B4DB1"/>
    <w:rsid w:val="002A45EA"/>
    <w:rsid w:val="00395C43"/>
    <w:rsid w:val="004223E4"/>
    <w:rsid w:val="00452568"/>
    <w:rsid w:val="00461A86"/>
    <w:rsid w:val="00580B06"/>
    <w:rsid w:val="005D16D5"/>
    <w:rsid w:val="005E3531"/>
    <w:rsid w:val="00602C86"/>
    <w:rsid w:val="0061172A"/>
    <w:rsid w:val="006333AC"/>
    <w:rsid w:val="00643CE2"/>
    <w:rsid w:val="006C5814"/>
    <w:rsid w:val="006F546B"/>
    <w:rsid w:val="0078456F"/>
    <w:rsid w:val="007D73F3"/>
    <w:rsid w:val="00891B44"/>
    <w:rsid w:val="0093741E"/>
    <w:rsid w:val="00937EEF"/>
    <w:rsid w:val="009726F4"/>
    <w:rsid w:val="009C2F9B"/>
    <w:rsid w:val="009D2314"/>
    <w:rsid w:val="009F6E1D"/>
    <w:rsid w:val="00AA5377"/>
    <w:rsid w:val="00AD35DA"/>
    <w:rsid w:val="00C033E8"/>
    <w:rsid w:val="00C13469"/>
    <w:rsid w:val="00C42102"/>
    <w:rsid w:val="00C844E6"/>
    <w:rsid w:val="00CD78A2"/>
    <w:rsid w:val="00DB1F33"/>
    <w:rsid w:val="00DD6EDE"/>
    <w:rsid w:val="00E4724A"/>
    <w:rsid w:val="00E61C7C"/>
    <w:rsid w:val="00E8254A"/>
    <w:rsid w:val="00EF53F3"/>
    <w:rsid w:val="00FC60DD"/>
    <w:rsid w:val="04324CDA"/>
    <w:rsid w:val="07150014"/>
    <w:rsid w:val="0A3023F3"/>
    <w:rsid w:val="0A9A187F"/>
    <w:rsid w:val="0B0D4E2B"/>
    <w:rsid w:val="0F681D16"/>
    <w:rsid w:val="126D4B79"/>
    <w:rsid w:val="131163C1"/>
    <w:rsid w:val="151A61D1"/>
    <w:rsid w:val="170F7B5C"/>
    <w:rsid w:val="18016469"/>
    <w:rsid w:val="181F0290"/>
    <w:rsid w:val="194700DE"/>
    <w:rsid w:val="194953DB"/>
    <w:rsid w:val="1A9C5527"/>
    <w:rsid w:val="1BD923B5"/>
    <w:rsid w:val="1CCD3C1B"/>
    <w:rsid w:val="20C76220"/>
    <w:rsid w:val="21A37E40"/>
    <w:rsid w:val="23502079"/>
    <w:rsid w:val="2786560A"/>
    <w:rsid w:val="29171209"/>
    <w:rsid w:val="2917577F"/>
    <w:rsid w:val="2A3D7BFC"/>
    <w:rsid w:val="2B8A3EC7"/>
    <w:rsid w:val="2C733981"/>
    <w:rsid w:val="2C940BB2"/>
    <w:rsid w:val="2CC338BC"/>
    <w:rsid w:val="2D677802"/>
    <w:rsid w:val="2FC40386"/>
    <w:rsid w:val="306727B0"/>
    <w:rsid w:val="320F540D"/>
    <w:rsid w:val="321969A2"/>
    <w:rsid w:val="329B0E37"/>
    <w:rsid w:val="33B0729D"/>
    <w:rsid w:val="362F5EE7"/>
    <w:rsid w:val="370203A0"/>
    <w:rsid w:val="39083C12"/>
    <w:rsid w:val="39630D50"/>
    <w:rsid w:val="3ACB2FF1"/>
    <w:rsid w:val="3CD76F0F"/>
    <w:rsid w:val="425F6A23"/>
    <w:rsid w:val="459B581B"/>
    <w:rsid w:val="4668483B"/>
    <w:rsid w:val="47246C2E"/>
    <w:rsid w:val="481B0F91"/>
    <w:rsid w:val="4CA56EF6"/>
    <w:rsid w:val="4CB368A3"/>
    <w:rsid w:val="54823BE6"/>
    <w:rsid w:val="55FC3329"/>
    <w:rsid w:val="563555BC"/>
    <w:rsid w:val="56EF3F4F"/>
    <w:rsid w:val="57DA7034"/>
    <w:rsid w:val="588019D1"/>
    <w:rsid w:val="59D6660B"/>
    <w:rsid w:val="5A0031AA"/>
    <w:rsid w:val="5D5925BC"/>
    <w:rsid w:val="61EE083F"/>
    <w:rsid w:val="668A09CB"/>
    <w:rsid w:val="68FA26A2"/>
    <w:rsid w:val="6A2904FB"/>
    <w:rsid w:val="6AA21139"/>
    <w:rsid w:val="6B192F57"/>
    <w:rsid w:val="70B5578B"/>
    <w:rsid w:val="72E567DC"/>
    <w:rsid w:val="7FC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1e33fad-aa11-49d2-96bd-fbb81b4f105a\&#32418;&#22836;&#25991;&#20214;&#20154;&#20107;&#20219;&#21629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红头文件人事任命书.docx</Template>
  <Pages>4</Pages>
  <Words>1875</Words>
  <Characters>1948</Characters>
  <Lines>3</Lines>
  <Paragraphs>1</Paragraphs>
  <TotalTime>10</TotalTime>
  <ScaleCrop>false</ScaleCrop>
  <LinksUpToDate>false</LinksUpToDate>
  <CharactersWithSpaces>1997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2023-05-16T02:17:00Z</dcterms:created>
  <dc:creator>薇恩+娜可</dc:creator>
  <cp:lastModifiedBy>路娇娇</cp:lastModifiedBy>
  <cp:lastPrinted>2024-03-27T07:42:00Z</cp:lastPrinted>
  <dcterms:modified xsi:type="dcterms:W3CDTF">2026-02-10T01:55:04Z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v1.0_mb_glWXORVXV79Lrj76WnoqLQ==</vt:lpwstr>
  </property>
  <property fmtid="{D5CDD505-2E9C-101B-9397-08002B2CF9AE}" pid="4" name="ICV">
    <vt:lpwstr>80ECA1FD835C437F85B5F7DBC4B831C8_13</vt:lpwstr>
  </property>
  <property fmtid="{D5CDD505-2E9C-101B-9397-08002B2CF9AE}" pid="5" name="KSOTemplateDocerSaveRecord">
    <vt:lpwstr>eyJoZGlkIjoiYzViZWFmODM1ZGVkNjBmYjQyNTNhNDg3NGE5OTRmNTYiLCJ1c2VySWQiOiIyNzE1Njg1MTcifQ==</vt:lpwstr>
  </property>
</Properties>
</file>