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7251A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微软雅黑" w:hAnsi="微软雅黑" w:eastAsia="微软雅黑" w:cs="微软雅黑"/>
          <w:b w:val="0"/>
          <w:bCs w:val="0"/>
          <w:sz w:val="44"/>
          <w:szCs w:val="44"/>
          <w:lang w:val="en-US" w:eastAsia="zh-CN"/>
        </w:rPr>
      </w:pPr>
      <w:r>
        <w:rPr>
          <w:rFonts w:hint="eastAsia" w:ascii="微软雅黑" w:hAnsi="微软雅黑" w:eastAsia="微软雅黑" w:cs="微软雅黑"/>
          <w:b w:val="0"/>
          <w:bCs w:val="0"/>
          <w:sz w:val="44"/>
          <w:szCs w:val="44"/>
          <w:lang w:val="en-US" w:eastAsia="zh-CN"/>
        </w:rPr>
        <w:t>潢川县城市管理局</w:t>
      </w:r>
    </w:p>
    <w:p w14:paraId="2BDD37D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微软雅黑" w:hAnsi="微软雅黑" w:eastAsia="微软雅黑" w:cs="微软雅黑"/>
          <w:b w:val="0"/>
          <w:bCs w:val="0"/>
          <w:sz w:val="44"/>
          <w:szCs w:val="44"/>
          <w:lang w:val="en-US" w:eastAsia="zh-CN"/>
        </w:rPr>
      </w:pPr>
      <w:r>
        <w:rPr>
          <w:rFonts w:hint="eastAsia" w:ascii="微软雅黑" w:hAnsi="微软雅黑" w:eastAsia="微软雅黑" w:cs="微软雅黑"/>
          <w:b w:val="0"/>
          <w:bCs w:val="0"/>
          <w:sz w:val="44"/>
          <w:szCs w:val="44"/>
          <w:lang w:val="en-US" w:eastAsia="zh-CN"/>
        </w:rPr>
        <w:t>关于2025年</w:t>
      </w:r>
      <w:bookmarkStart w:id="8" w:name="_GoBack"/>
      <w:bookmarkEnd w:id="8"/>
      <w:r>
        <w:rPr>
          <w:rFonts w:hint="eastAsia" w:ascii="微软雅黑" w:hAnsi="微软雅黑" w:eastAsia="微软雅黑" w:cs="微软雅黑"/>
          <w:b w:val="0"/>
          <w:bCs w:val="0"/>
          <w:sz w:val="44"/>
          <w:szCs w:val="44"/>
          <w:lang w:val="en-US" w:eastAsia="zh-CN"/>
        </w:rPr>
        <w:t>法治政府建设情况的报告</w:t>
      </w:r>
    </w:p>
    <w:p w14:paraId="1372AA57">
      <w:pPr>
        <w:keepNext w:val="0"/>
        <w:keepLines w:val="0"/>
        <w:pageBreakBefore w:val="0"/>
        <w:kinsoku/>
        <w:wordWrap/>
        <w:overflowPunct/>
        <w:topLinePunct w:val="0"/>
        <w:autoSpaceDE/>
        <w:autoSpaceDN/>
        <w:bidi w:val="0"/>
        <w:adjustRightInd/>
        <w:spacing w:line="560" w:lineRule="exact"/>
        <w:textAlignment w:val="auto"/>
        <w:rPr>
          <w:rFonts w:hint="default"/>
          <w:lang w:val="en-US" w:eastAsia="zh-CN"/>
        </w:rPr>
      </w:pPr>
    </w:p>
    <w:p w14:paraId="64335533">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2025年度潢川县城市管理局认真贯彻落实党中央关于全面推进依法治国的部署要求，</w:t>
      </w:r>
      <w:r>
        <w:rPr>
          <w:rFonts w:hint="eastAsia" w:ascii="仿宋_GB2312" w:hAnsi="仿宋_GB2312" w:eastAsia="仿宋_GB2312" w:cs="仿宋_GB2312"/>
          <w:b w:val="0"/>
          <w:bCs w:val="0"/>
          <w:color w:val="auto"/>
          <w:sz w:val="32"/>
          <w:szCs w:val="32"/>
          <w:lang w:eastAsia="zh-CN"/>
        </w:rPr>
        <w:t>以习近平新时代中国特色社会主义思想为指导，全面贯彻党的二十</w:t>
      </w:r>
      <w:r>
        <w:rPr>
          <w:rFonts w:hint="eastAsia" w:ascii="仿宋_GB2312" w:hAnsi="仿宋_GB2312" w:eastAsia="仿宋_GB2312" w:cs="仿宋_GB2312"/>
          <w:b w:val="0"/>
          <w:bCs w:val="0"/>
          <w:color w:val="auto"/>
          <w:sz w:val="32"/>
          <w:szCs w:val="32"/>
          <w:lang w:val="en-US" w:eastAsia="zh-CN"/>
        </w:rPr>
        <w:t>届</w:t>
      </w:r>
      <w:r>
        <w:rPr>
          <w:rFonts w:hint="eastAsia" w:ascii="仿宋_GB2312" w:hAnsi="仿宋_GB2312" w:eastAsia="仿宋_GB2312" w:cs="仿宋_GB2312"/>
          <w:b w:val="0"/>
          <w:bCs w:val="0"/>
          <w:color w:val="auto"/>
          <w:sz w:val="32"/>
          <w:szCs w:val="32"/>
          <w:lang w:eastAsia="zh-CN"/>
        </w:rPr>
        <w:t>及</w:t>
      </w:r>
      <w:r>
        <w:rPr>
          <w:rFonts w:hint="eastAsia" w:ascii="仿宋_GB2312" w:hAnsi="仿宋_GB2312" w:eastAsia="仿宋_GB2312" w:cs="仿宋_GB2312"/>
          <w:b w:val="0"/>
          <w:bCs w:val="0"/>
          <w:color w:val="auto"/>
          <w:sz w:val="32"/>
          <w:szCs w:val="32"/>
          <w:lang w:val="en-US" w:eastAsia="zh-CN"/>
        </w:rPr>
        <w:t>二十大</w:t>
      </w:r>
      <w:r>
        <w:rPr>
          <w:rFonts w:hint="eastAsia" w:ascii="仿宋_GB2312" w:hAnsi="仿宋_GB2312" w:eastAsia="仿宋_GB2312" w:cs="仿宋_GB2312"/>
          <w:b w:val="0"/>
          <w:bCs w:val="0"/>
          <w:color w:val="auto"/>
          <w:sz w:val="32"/>
          <w:szCs w:val="32"/>
          <w:lang w:eastAsia="zh-CN"/>
        </w:rPr>
        <w:t>系列全会精神，结合城市管理工作的实际情况，</w:t>
      </w:r>
      <w:r>
        <w:rPr>
          <w:rFonts w:hint="eastAsia" w:ascii="仿宋_GB2312" w:hAnsi="仿宋_GB2312" w:eastAsia="仿宋_GB2312" w:cs="仿宋_GB2312"/>
          <w:b w:val="0"/>
          <w:bCs w:val="0"/>
          <w:color w:val="auto"/>
          <w:sz w:val="32"/>
          <w:szCs w:val="32"/>
          <w:lang w:val="en-US" w:eastAsia="zh-CN"/>
        </w:rPr>
        <w:t>开展法治建设工作，现将工作情况报告如下：</w:t>
      </w:r>
    </w:p>
    <w:p w14:paraId="7154F92D">
      <w:pPr>
        <w:keepNext w:val="0"/>
        <w:keepLines w:val="0"/>
        <w:pageBreakBefore w:val="0"/>
        <w:numPr>
          <w:ilvl w:val="0"/>
          <w:numId w:val="2"/>
        </w:numPr>
        <w:kinsoku/>
        <w:wordWrap/>
        <w:overflowPunct/>
        <w:topLinePunct w:val="0"/>
        <w:autoSpaceDE/>
        <w:autoSpaceDN/>
        <w:bidi w:val="0"/>
        <w:adjustRightInd/>
        <w:spacing w:line="560" w:lineRule="exact"/>
        <w:ind w:left="0" w:leftChars="0" w:firstLine="640" w:firstLineChars="200"/>
        <w:textAlignment w:val="auto"/>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2025年党政主要负责人履行推进法治建设第一责任人职责，加强法治政府建设的有关情况</w:t>
      </w:r>
    </w:p>
    <w:p w14:paraId="5043327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（一）提高政治站位，切实履行法治建设责任</w:t>
      </w:r>
    </w:p>
    <w:p w14:paraId="2CA062FC">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highlight w:val="none"/>
          <w:lang w:eastAsia="zh-CN"/>
        </w:rPr>
        <w:t>加强法治建设工作的组织领导，健全法治建设领导协调机制，将法治政府建设工作纳入年度工作计划，严格落实主要领导作为法治建设第一责任人的职责，</w:t>
      </w:r>
      <w:r>
        <w:rPr>
          <w:rFonts w:hint="eastAsia" w:ascii="仿宋_GB2312" w:hAnsi="仿宋_GB2312" w:eastAsia="仿宋_GB2312" w:cs="仿宋_GB2312"/>
          <w:b w:val="0"/>
          <w:bCs w:val="0"/>
          <w:color w:val="auto"/>
          <w:sz w:val="32"/>
          <w:szCs w:val="32"/>
          <w:lang w:eastAsia="zh-CN"/>
        </w:rPr>
        <w:t>统筹推进</w:t>
      </w:r>
      <w:r>
        <w:rPr>
          <w:rFonts w:hint="eastAsia" w:ascii="仿宋_GB2312" w:hAnsi="仿宋_GB2312" w:eastAsia="仿宋_GB2312" w:cs="仿宋_GB2312"/>
          <w:b w:val="0"/>
          <w:bCs w:val="0"/>
          <w:color w:val="auto"/>
          <w:sz w:val="32"/>
          <w:szCs w:val="32"/>
          <w:lang w:val="en-US" w:eastAsia="zh-CN"/>
        </w:rPr>
        <w:t>2025年</w:t>
      </w:r>
      <w:r>
        <w:rPr>
          <w:rFonts w:hint="eastAsia" w:ascii="仿宋_GB2312" w:hAnsi="仿宋_GB2312" w:eastAsia="仿宋_GB2312" w:cs="仿宋_GB2312"/>
          <w:b w:val="0"/>
          <w:bCs w:val="0"/>
          <w:color w:val="auto"/>
          <w:sz w:val="32"/>
          <w:szCs w:val="32"/>
          <w:lang w:eastAsia="zh-CN"/>
        </w:rPr>
        <w:t>全局法治建设工作，积极履行法治政府建设重要的组织者、推动者和实践者的职责，全面履行依法行政责任，切实加强对我局法治建设的组织领导，把我局工作全面纳入法治化轨道。</w:t>
      </w:r>
    </w:p>
    <w:p w14:paraId="60E89B50">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i w:val="0"/>
          <w:iCs w:val="0"/>
          <w:color w:val="auto"/>
          <w:sz w:val="32"/>
          <w:szCs w:val="32"/>
          <w:highlight w:val="none"/>
          <w:lang w:val="en-US" w:eastAsia="zh-CN"/>
        </w:rPr>
      </w:pPr>
      <w:r>
        <w:rPr>
          <w:rFonts w:hint="eastAsia" w:ascii="仿宋_GB2312" w:hAnsi="仿宋_GB2312" w:eastAsia="仿宋_GB2312" w:cs="仿宋_GB2312"/>
          <w:b w:val="0"/>
          <w:bCs w:val="0"/>
          <w:color w:val="auto"/>
          <w:sz w:val="32"/>
          <w:szCs w:val="32"/>
          <w:lang w:val="en-US" w:eastAsia="zh-CN"/>
        </w:rPr>
        <w:t>始终把法治政府建设作为全局重要工作来抓，深化法治实践工作，坚持把增强领导干部、执法人员的法治意识和依法办事能力作为推进普法教育、依法治理等各项法治实践的重要前提和基础。不断巩固拓展学习贯彻习近平新时代中国特色社会主义思想主题教育成果，持续提高党组理论学习中心组学习质量，领导干部带头学，将政治理论思想、公共法律等法律法规学习纳入党组中心理论学习范围，认真组识开展学习讨论。2025年开展党组成员集体学法会议不少于4次。在日常工作中对全局干部职工进行经常性的法治教育，提高自身法治素养和执法水平。</w:t>
      </w:r>
    </w:p>
    <w:p w14:paraId="0056B38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（二）坚持依法依规，严格规范执法行为</w:t>
      </w:r>
    </w:p>
    <w:p w14:paraId="0D4AEB9E">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健全依法决策制度。我局积极完善行政决策制度机制，把公众参与、专家论证、风险评估、合法性审查和集体讨论决定作为重大行政决策必经程序，认真贯彻落实《中华人民共和国宪法》、《中华人民共和国城乡规划法》、《城市管理执法办法》等相关城市管理法律法规，切实做到重大行政决策经局长办公室或局党组会议集体讨论决定，经法律顾问审查和专家咨询论证。对社会关注度高、涉及群众切身利益的城市管理决策事项，及时公开，确保决策科学，效益最大化，进一步提高依法行政能力。</w:t>
      </w:r>
    </w:p>
    <w:p w14:paraId="767DB0C9">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提升行政执法规范化水平。一是要求全体执法人员执法过程中要深入贯彻实施《行政处罚法》、《行政强制法》、《行政诉讼法》等与城市管理相关法律，落实全省统一行政处罚文书标准、案卷标准、评查标准，加大执法文书培训力度，规范开展文字记录，加强案卷制作、管理和归档。深入推进乡镇街道综合行政执法改革，以联合执法形式，对乡镇、街道综合执法队开展行政执法实地指导。二是严格遵守“六大原则”，即公开原则、程序合法原则、执法人员合法原则、注重证据的真实性及完备性原则、案件时效性原则、适用法律准确性原则。三是加强重点领域行政执法。加大城市管理执法力度，不断提升城市管理标准，加强整治流动商贩、店外经营、占道经营等违法现象。实施包容审慎监管，开展行政执法温度提升活动，组织推进强化服务意识优化城市管理执法工作。</w:t>
      </w:r>
    </w:p>
    <w:p w14:paraId="373C35B5">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充分发挥法律顾问职责。我局严格遵守法律顾问制度，聘请一名专业律师担任局法律顾问，并在工作实践探索中逐步建立以下工作机制：一是在重大行政决策问题上做好法律咨询论证；二是涉及行政复议、行政诉讼以及处理和化解社会矛盾纠纷问题上，法律顾问全</w:t>
      </w:r>
      <w:r>
        <w:rPr>
          <w:rFonts w:hint="eastAsia" w:ascii="仿宋_GB2312" w:hAnsi="仿宋_GB2312" w:eastAsia="仿宋_GB2312" w:cs="仿宋_GB2312"/>
          <w:b w:val="0"/>
          <w:bCs w:val="0"/>
          <w:color w:val="auto"/>
          <w:sz w:val="32"/>
          <w:szCs w:val="32"/>
          <w:highlight w:val="none"/>
          <w:lang w:val="en-US" w:eastAsia="zh-CN"/>
        </w:rPr>
        <w:t>程参与并积极出谋划策，自我局聘法律顾问以来法律顾问提出法律建议50余条，参与指导一线执法4次。</w:t>
      </w:r>
    </w:p>
    <w:p w14:paraId="313E917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（三）加强队伍建设，全面提高执法人员水平</w:t>
      </w:r>
    </w:p>
    <w:p w14:paraId="09F614EB">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i w:val="0"/>
          <w:iCs w:val="0"/>
          <w:color w:val="auto"/>
          <w:sz w:val="32"/>
          <w:szCs w:val="32"/>
          <w:highlight w:val="none"/>
          <w:lang w:val="en-US" w:eastAsia="zh-CN"/>
        </w:rPr>
      </w:pPr>
      <w:r>
        <w:rPr>
          <w:rFonts w:hint="eastAsia" w:ascii="仿宋_GB2312" w:hAnsi="仿宋_GB2312" w:eastAsia="仿宋_GB2312" w:cs="仿宋_GB2312"/>
          <w:b w:val="0"/>
          <w:bCs w:val="0"/>
          <w:i w:val="0"/>
          <w:iCs w:val="0"/>
          <w:color w:val="auto"/>
          <w:sz w:val="32"/>
          <w:szCs w:val="32"/>
          <w:highlight w:val="none"/>
          <w:lang w:val="en-US" w:eastAsia="zh-CN"/>
        </w:rPr>
        <w:t>转变执法模式，打造服务型执法队伍。牢固树立执法服务意识，坚持将为民服务与强化执法监管有机结合，实现从“事后监管”到“提前介入”、从“被动执法”到“主动对接”的转变。在执法过程中树立“文明执法、规范执法”理念，从我局执法队伍中挖掘先进、树立标兵，进一步优化城市管理行政执法队伍的公众形象。</w:t>
      </w:r>
    </w:p>
    <w:p w14:paraId="511A3F17">
      <w:pPr>
        <w:pStyle w:val="5"/>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i w:val="0"/>
          <w:iCs w:val="0"/>
          <w:color w:val="auto"/>
          <w:sz w:val="32"/>
          <w:szCs w:val="32"/>
          <w:highlight w:val="none"/>
          <w:lang w:val="en-US" w:eastAsia="zh-CN"/>
        </w:rPr>
        <w:t>依法处置突发事件，提高突发事件应对能力。坚持运用法治思维和法治方式依法履职，提高突发事件应急处置能力。在此基础上，我局强化城市管理法规制度建设，确保各项应急处置工作有法可依、有章可循。要加强城市管理部门的应急队伍建设，提升队伍的专业素养和实战能力，确保在突发事件发生时能够迅速、准确地做出反应。</w:t>
      </w:r>
    </w:p>
    <w:p w14:paraId="18A434B2">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积极推进政务信息公开。认真实施政务信息公开条例，健全信息公开制度。对依法应当主动公开的信息，及时、准确、全面地向社会公开。进一步推进行政执法、行政许可等领域的信息公开。</w:t>
      </w:r>
    </w:p>
    <w:p w14:paraId="2835354A">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创新宣传方式，营造浓厚氛围。一是依托微信公众号、抖音短视频等新媒体平台发布推送内容，全方位展示城市管理工作动态，让更多群众了解、理解并支持城市管理工作。</w:t>
      </w:r>
      <w:r>
        <w:rPr>
          <w:rFonts w:hint="eastAsia" w:ascii="仿宋_GB2312" w:hAnsi="仿宋_GB2312" w:eastAsia="仿宋_GB2312" w:cs="仿宋_GB2312"/>
          <w:b w:val="0"/>
          <w:bCs w:val="0"/>
          <w:color w:val="auto"/>
          <w:sz w:val="32"/>
          <w:szCs w:val="32"/>
          <w:highlight w:val="none"/>
          <w:lang w:val="en-US" w:eastAsia="zh-CN"/>
        </w:rPr>
        <w:t>二是设置宣传栏。在局门口、菜市场人员流通较大的区域利用电子显示屏滚动播放宣传标语。三是开展流动宣传。组织开展法律七进和民法典宣传周等法治宣传活动，</w:t>
      </w:r>
      <w:r>
        <w:rPr>
          <w:rFonts w:hint="eastAsia" w:ascii="仿宋_GB2312" w:hAnsi="仿宋_GB2312" w:eastAsia="仿宋_GB2312" w:cs="仿宋_GB2312"/>
          <w:b w:val="0"/>
          <w:bCs w:val="0"/>
          <w:color w:val="auto"/>
          <w:sz w:val="32"/>
          <w:szCs w:val="32"/>
          <w:lang w:val="en-US" w:eastAsia="zh-CN"/>
        </w:rPr>
        <w:t>要求相关</w:t>
      </w:r>
      <w:r>
        <w:rPr>
          <w:rFonts w:hint="eastAsia" w:ascii="仿宋_GB2312" w:hAnsi="仿宋_GB2312" w:eastAsia="仿宋_GB2312" w:cs="仿宋_GB2312"/>
          <w:b w:val="0"/>
          <w:bCs w:val="0"/>
          <w:color w:val="auto"/>
          <w:sz w:val="32"/>
          <w:szCs w:val="32"/>
          <w:highlight w:val="none"/>
          <w:lang w:val="en-US" w:eastAsia="zh-CN"/>
        </w:rPr>
        <w:t>职能股室、二级机构、各执法中队多次组织到相关社区、建筑工地等开展城市管理法律法规等宣传活动。充分利用执法车辆的车载广播及面对面宣传等流动形式向群众宣传法律知识。</w:t>
      </w:r>
    </w:p>
    <w:p w14:paraId="2F0E5866">
      <w:pPr>
        <w:keepNext w:val="0"/>
        <w:keepLines w:val="0"/>
        <w:pageBreakBefore w:val="0"/>
        <w:numPr>
          <w:ilvl w:val="0"/>
          <w:numId w:val="2"/>
        </w:numPr>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2025年推进法治建设的主要举措和成效</w:t>
      </w:r>
    </w:p>
    <w:p w14:paraId="606FA374">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firstLine="643" w:firstLineChars="200"/>
        <w:jc w:val="both"/>
        <w:textAlignment w:val="auto"/>
        <w:rPr>
          <w:rFonts w:hint="eastAsia" w:ascii="楷体" w:hAnsi="楷体" w:eastAsia="楷体" w:cs="楷体"/>
          <w:b/>
          <w:bCs/>
          <w:color w:val="auto"/>
          <w:sz w:val="32"/>
          <w:szCs w:val="32"/>
          <w:highlight w:val="none"/>
          <w:lang w:val="en-US" w:eastAsia="zh-CN"/>
        </w:rPr>
      </w:pPr>
      <w:r>
        <w:rPr>
          <w:rFonts w:hint="eastAsia" w:ascii="楷体" w:hAnsi="楷体" w:eastAsia="楷体" w:cs="楷体"/>
          <w:b/>
          <w:bCs/>
          <w:color w:val="auto"/>
          <w:sz w:val="32"/>
          <w:szCs w:val="32"/>
          <w:highlight w:val="none"/>
          <w:lang w:val="en-US" w:eastAsia="zh-CN"/>
        </w:rPr>
        <w:t>理论学习常态化推进，筑牢思想根基</w:t>
      </w:r>
    </w:p>
    <w:p w14:paraId="3EB74E3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局主要领导高度重视，多次召开</w:t>
      </w:r>
      <w:r>
        <w:rPr>
          <w:rFonts w:hint="eastAsia" w:ascii="仿宋_GB2312" w:hAnsi="仿宋_GB2312" w:eastAsia="仿宋_GB2312" w:cs="仿宋_GB2312"/>
          <w:color w:val="auto"/>
          <w:kern w:val="2"/>
          <w:sz w:val="32"/>
          <w:szCs w:val="32"/>
          <w:lang w:val="en-US" w:eastAsia="zh-CN" w:bidi="ar-SA"/>
        </w:rPr>
        <w:t>中心组学习、党组会、周四大学堂、第一议题等形式，深入学习习近平总书记关于党的作风建设重要论述及中央八项规定精神等，</w:t>
      </w:r>
      <w:r>
        <w:rPr>
          <w:rFonts w:hint="eastAsia" w:ascii="仿宋_GB2312" w:hAnsi="仿宋_GB2312" w:eastAsia="仿宋_GB2312" w:cs="仿宋_GB2312"/>
          <w:b w:val="0"/>
          <w:bCs w:val="0"/>
          <w:color w:val="auto"/>
          <w:sz w:val="32"/>
          <w:szCs w:val="32"/>
          <w:lang w:val="en-US" w:eastAsia="zh-CN"/>
        </w:rPr>
        <w:t>对综合执法、风险研判等工作进行部署安排。充分发挥领导班子的模范带头作用，深入行政执法工作一线，狠抓工作落实。为保障法治建设工作有序开展，成立了以局长为组长的依法行政工作领导小组，班子成员任副组长，领导小组下设办公室，各股室长、二级机构负责人为成员，并由专人负责日常工作，为有序开展法治建设工作提供了有力的组织保障。</w:t>
      </w:r>
      <w:r>
        <w:rPr>
          <w:rFonts w:hint="eastAsia" w:ascii="仿宋_GB2312" w:hAnsi="仿宋_GB2312" w:eastAsia="仿宋_GB2312" w:cs="仿宋_GB2312"/>
          <w:color w:val="auto"/>
          <w:kern w:val="2"/>
          <w:sz w:val="32"/>
          <w:szCs w:val="32"/>
          <w:lang w:val="en-US" w:eastAsia="zh-CN" w:bidi="ar-SA"/>
        </w:rPr>
        <w:t>目前已开展各类学习20余次。参与学习人员300余人次。</w:t>
      </w:r>
    </w:p>
    <w:p w14:paraId="21F6267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楷体" w:hAnsi="楷体" w:eastAsia="楷体" w:cs="楷体"/>
          <w:b/>
          <w:bCs/>
          <w:color w:val="auto"/>
          <w:sz w:val="32"/>
          <w:szCs w:val="32"/>
          <w:highlight w:val="none"/>
          <w:lang w:val="en-US" w:eastAsia="zh-CN"/>
        </w:rPr>
      </w:pPr>
      <w:r>
        <w:rPr>
          <w:rFonts w:hint="eastAsia" w:ascii="楷体" w:hAnsi="楷体" w:eastAsia="楷体" w:cs="楷体"/>
          <w:b/>
          <w:bCs/>
          <w:color w:val="auto"/>
          <w:sz w:val="32"/>
          <w:szCs w:val="32"/>
          <w:highlight w:val="none"/>
          <w:lang w:val="en-US" w:eastAsia="zh-CN"/>
        </w:rPr>
        <w:t>（二）推进服务型行政执法，增强城市管理群众“幸福感”</w:t>
      </w:r>
    </w:p>
    <w:p w14:paraId="107005B5">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kern w:val="2"/>
          <w:sz w:val="32"/>
          <w:szCs w:val="32"/>
          <w:lang w:val="en-US" w:eastAsia="zh-CN" w:bidi="ar-SA"/>
        </w:rPr>
        <w:t>1．大力推行“721”工作法。</w:t>
      </w:r>
      <w:r>
        <w:rPr>
          <w:rFonts w:hint="eastAsia" w:ascii="仿宋_GB2312" w:hAnsi="仿宋_GB2312" w:eastAsia="仿宋_GB2312" w:cs="仿宋_GB2312"/>
          <w:b w:val="0"/>
          <w:bCs w:val="0"/>
          <w:color w:val="auto"/>
          <w:sz w:val="32"/>
          <w:szCs w:val="32"/>
          <w:lang w:val="en-US" w:eastAsia="zh-CN"/>
        </w:rPr>
        <w:t>转变思想，树牢服务型执法管理理念。城市管理工作面临许多新的矛盾和问题，为适应新形势下城市管理综合执法工作的需要，局党组审时度势，把着力打造服务型城市管理执法队伍放在首要位置，推行“721”工作法,即7O%的工作靠服务，20%的工作靠管理，10%的工作靠执法，以柔性为基础，为百姓解决问题，服务于民。把业务学习和服务型执法教育作为一项重要任务，大力挖掘和选树先进，进一步发挥榜样的示范引领作用，选树城管南城中队长白少军为执法榜样，全局推广先进执法模式，推行“刚柔并济”的执法方式，采取换位思考、说理劝导、群众现场评判等执法方式，寓管理于服务和教育，让管理既有尺度，更有温度，在全局上下形成“以服务促管理”的工作理念。</w:t>
      </w:r>
    </w:p>
    <w:p w14:paraId="14F231A3">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kern w:val="2"/>
          <w:sz w:val="32"/>
          <w:szCs w:val="32"/>
          <w:lang w:val="en-US" w:eastAsia="zh-CN" w:bidi="ar-SA"/>
        </w:rPr>
        <w:t>2．强化法治培训学习。</w:t>
      </w:r>
      <w:r>
        <w:rPr>
          <w:rFonts w:hint="eastAsia" w:ascii="仿宋_GB2312" w:hAnsi="仿宋_GB2312" w:eastAsia="仿宋_GB2312" w:cs="仿宋_GB2312"/>
          <w:b w:val="0"/>
          <w:bCs w:val="0"/>
          <w:color w:val="auto"/>
          <w:kern w:val="2"/>
          <w:sz w:val="32"/>
          <w:szCs w:val="32"/>
          <w:lang w:val="en-US" w:eastAsia="zh-CN" w:bidi="ar-SA"/>
        </w:rPr>
        <w:t>2</w:t>
      </w:r>
      <w:r>
        <w:rPr>
          <w:rFonts w:hint="eastAsia" w:ascii="仿宋_GB2312" w:hAnsi="仿宋_GB2312" w:eastAsia="仿宋_GB2312" w:cs="仿宋_GB2312"/>
          <w:b w:val="0"/>
          <w:bCs w:val="0"/>
          <w:i w:val="0"/>
          <w:iCs w:val="0"/>
          <w:color w:val="auto"/>
          <w:sz w:val="32"/>
          <w:szCs w:val="32"/>
          <w:highlight w:val="none"/>
          <w:lang w:val="en-US" w:eastAsia="zh-CN"/>
        </w:rPr>
        <w:t>025年城市管理局政策法规股对</w:t>
      </w:r>
      <w:r>
        <w:rPr>
          <w:rFonts w:hint="eastAsia" w:ascii="仿宋_GB2312" w:hAnsi="仿宋_GB2312" w:eastAsia="仿宋_GB2312" w:cs="仿宋_GB2312"/>
          <w:color w:val="auto"/>
          <w:sz w:val="32"/>
          <w:szCs w:val="32"/>
          <w:lang w:val="en-US" w:eastAsia="zh-CN"/>
        </w:rPr>
        <w:t>局系统执法人员集中进行13次法治培训，</w:t>
      </w:r>
      <w:r>
        <w:rPr>
          <w:rFonts w:hint="eastAsia" w:ascii="仿宋_GB2312" w:hAnsi="仿宋_GB2312" w:eastAsia="仿宋_GB2312" w:cs="仿宋_GB2312"/>
          <w:b w:val="0"/>
          <w:bCs w:val="0"/>
          <w:color w:val="auto"/>
          <w:sz w:val="32"/>
          <w:szCs w:val="32"/>
          <w:lang w:val="en-US" w:eastAsia="zh-CN"/>
        </w:rPr>
        <w:t>共计600人次参加培训。定期组织执法人员参加法律法规培训，提高执法人员的法律素养和执法水平。培训内容涵盖《信阳市城市市容和环境卫生管理条例》、《信阳市停车场建设管理条例》、《信阳市城乡人居环境综合治理条例》、《信阳市城市排水管理条件》等法律法规，以及执法文书制作、执法程序规范等方面的知识，</w:t>
      </w:r>
      <w:r>
        <w:rPr>
          <w:rFonts w:hint="eastAsia" w:ascii="仿宋_GB2312" w:hAnsi="仿宋_GB2312" w:eastAsia="仿宋_GB2312" w:cs="仿宋_GB2312"/>
          <w:b w:val="0"/>
          <w:bCs w:val="0"/>
          <w:i w:val="0"/>
          <w:iCs w:val="0"/>
          <w:caps w:val="0"/>
          <w:color w:val="auto"/>
          <w:spacing w:val="0"/>
          <w:sz w:val="32"/>
          <w:szCs w:val="32"/>
          <w:shd w:val="clear" w:fill="FFFFFF"/>
        </w:rPr>
        <w:t>通过学习培训使行政执法人员的执法理念、执法</w:t>
      </w: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能力</w:t>
      </w:r>
      <w:r>
        <w:rPr>
          <w:rFonts w:hint="eastAsia" w:ascii="仿宋_GB2312" w:hAnsi="仿宋_GB2312" w:eastAsia="仿宋_GB2312" w:cs="仿宋_GB2312"/>
          <w:b w:val="0"/>
          <w:bCs w:val="0"/>
          <w:i w:val="0"/>
          <w:iCs w:val="0"/>
          <w:caps w:val="0"/>
          <w:color w:val="auto"/>
          <w:spacing w:val="0"/>
          <w:sz w:val="32"/>
          <w:szCs w:val="32"/>
          <w:shd w:val="clear" w:fill="FFFFFF"/>
        </w:rPr>
        <w:t>和执法方式有</w:t>
      </w: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显著提升</w:t>
      </w:r>
      <w:r>
        <w:rPr>
          <w:rFonts w:hint="eastAsia" w:ascii="仿宋_GB2312" w:hAnsi="仿宋_GB2312" w:eastAsia="仿宋_GB2312" w:cs="仿宋_GB2312"/>
          <w:b w:val="0"/>
          <w:bCs w:val="0"/>
          <w:i w:val="0"/>
          <w:iCs w:val="0"/>
          <w:caps w:val="0"/>
          <w:color w:val="auto"/>
          <w:spacing w:val="0"/>
          <w:sz w:val="32"/>
          <w:szCs w:val="32"/>
          <w:shd w:val="clear" w:fill="FFFFFF"/>
        </w:rPr>
        <w:t>。</w:t>
      </w:r>
    </w:p>
    <w:p w14:paraId="45297E48">
      <w:pPr>
        <w:keepNext w:val="0"/>
        <w:keepLines w:val="0"/>
        <w:pageBreakBefore w:val="0"/>
        <w:widowControl w:val="0"/>
        <w:kinsoku/>
        <w:wordWrap/>
        <w:overflowPunct/>
        <w:topLinePunct w:val="0"/>
        <w:autoSpaceDE/>
        <w:autoSpaceDN/>
        <w:bidi w:val="0"/>
        <w:adjustRightInd/>
        <w:snapToGrid w:val="0"/>
        <w:spacing w:line="600" w:lineRule="exact"/>
        <w:ind w:firstLine="643"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kern w:val="2"/>
          <w:sz w:val="32"/>
          <w:szCs w:val="32"/>
          <w:lang w:val="en-US" w:eastAsia="zh-CN" w:bidi="ar-SA"/>
        </w:rPr>
        <w:t>3．</w:t>
      </w:r>
      <w:r>
        <w:rPr>
          <w:rFonts w:hint="eastAsia" w:ascii="仿宋_GB2312" w:hAnsi="仿宋_GB2312" w:eastAsia="仿宋_GB2312" w:cs="仿宋_GB2312"/>
          <w:b/>
          <w:bCs/>
          <w:color w:val="auto"/>
          <w:sz w:val="32"/>
          <w:szCs w:val="32"/>
          <w:lang w:val="en-US" w:eastAsia="zh-CN"/>
        </w:rPr>
        <w:t>稳固违建整治管理成果。</w:t>
      </w:r>
      <w:r>
        <w:rPr>
          <w:rFonts w:hint="eastAsia" w:ascii="仿宋_GB2312" w:hAnsi="仿宋_GB2312" w:eastAsia="仿宋_GB2312" w:cs="仿宋_GB2312"/>
          <w:color w:val="auto"/>
          <w:sz w:val="32"/>
          <w:szCs w:val="32"/>
          <w:lang w:val="en-US" w:eastAsia="zh-CN"/>
        </w:rPr>
        <w:t>贯彻落实上级关于违建的相关文件精神，切实做好违建排查工作，依法管控违建、消除安全隐患，积极开展违建查处工作。潢川县城市管理局综合行政执法大队针对高新区抢建拆迁点，每日至少安排4名执法队员，2辆执法车辆开启昼夜轮班巡查。</w:t>
      </w:r>
    </w:p>
    <w:p w14:paraId="4DC68F5B">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4．</w:t>
      </w:r>
      <w:r>
        <w:rPr>
          <w:rFonts w:hint="eastAsia" w:ascii="仿宋_GB2312" w:hAnsi="仿宋_GB2312" w:eastAsia="仿宋_GB2312" w:cs="仿宋_GB2312"/>
          <w:b/>
          <w:bCs/>
          <w:color w:val="auto"/>
          <w:kern w:val="2"/>
          <w:sz w:val="32"/>
          <w:szCs w:val="32"/>
          <w:lang w:val="en-US" w:eastAsia="zh-CN" w:bidi="ar-SA"/>
        </w:rPr>
        <w:t>市容市貌整治成效明显</w:t>
      </w:r>
      <w:r>
        <w:rPr>
          <w:rFonts w:hint="eastAsia" w:ascii="仿宋_GB2312" w:hAnsi="仿宋_GB2312" w:eastAsia="仿宋_GB2312" w:cs="仿宋_GB2312"/>
          <w:b w:val="0"/>
          <w:bCs w:val="0"/>
          <w:color w:val="auto"/>
          <w:sz w:val="32"/>
          <w:szCs w:val="32"/>
          <w:lang w:val="en-US" w:eastAsia="zh-CN"/>
        </w:rPr>
        <w:t>。</w:t>
      </w:r>
      <w:r>
        <w:rPr>
          <w:rFonts w:hint="eastAsia" w:ascii="仿宋_GB2312" w:hAnsi="仿宋_GB2312" w:eastAsia="仿宋_GB2312" w:cs="仿宋_GB2312"/>
          <w:color w:val="auto"/>
          <w:kern w:val="2"/>
          <w:sz w:val="32"/>
          <w:szCs w:val="32"/>
          <w:lang w:val="en-US" w:eastAsia="zh-CN" w:bidi="ar-SA"/>
        </w:rPr>
        <w:t>全力开展“三集中一规范”攻坚行动，推动城市管理质量向更高层次迈进。错时执法与常态管理无缝结合，组织力量对主干道、商超、学校等热点区域开展常态整治巡查，沿街市容秩序得到极大改善。今年以来，累计治理占道经营、出店经营等各类违章行为31200余次，规范流动摊点6800余次，规范乱停乱放行为9600余起。</w:t>
      </w:r>
    </w:p>
    <w:p w14:paraId="0EA1CAB7">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kern w:val="2"/>
          <w:sz w:val="32"/>
          <w:szCs w:val="32"/>
          <w:lang w:val="en-US" w:eastAsia="zh-CN" w:bidi="ar-SA"/>
        </w:rPr>
        <w:t>5．环卫保洁质量稳中有升。</w:t>
      </w:r>
      <w:r>
        <w:rPr>
          <w:rFonts w:hint="eastAsia" w:ascii="仿宋_GB2312" w:hAnsi="仿宋_GB2312" w:eastAsia="仿宋_GB2312" w:cs="仿宋_GB2312"/>
          <w:color w:val="auto"/>
          <w:kern w:val="2"/>
          <w:sz w:val="32"/>
          <w:szCs w:val="32"/>
          <w:lang w:val="en-US" w:eastAsia="zh-CN" w:bidi="ar-SA"/>
        </w:rPr>
        <w:t>坚持“一把扫帚扫到底”，深入推行精细保洁，常态化开展“净城行动”，对城市道路、背街小巷、农贸市场等重点区域部位进行全面保洁，加大机械化清扫、洒水作业频次，每日洗扫不低于4次，洒水不低于8次，高温天气洒水在10次以上。加强生活垃圾清运频次，截至目前，全县共清运生活垃圾92952.5吨，做到了日产日清。</w:t>
      </w:r>
    </w:p>
    <w:p w14:paraId="361BB7B5">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kern w:val="2"/>
          <w:sz w:val="32"/>
          <w:szCs w:val="32"/>
          <w:highlight w:val="none"/>
          <w:lang w:val="en-US" w:eastAsia="zh-CN" w:bidi="ar-SA"/>
        </w:rPr>
        <w:t>6．依法规范行政许可。</w:t>
      </w:r>
      <w:r>
        <w:rPr>
          <w:rFonts w:hint="eastAsia" w:ascii="仿宋_GB2312" w:hAnsi="仿宋_GB2312" w:eastAsia="仿宋_GB2312" w:cs="仿宋_GB2312"/>
          <w:b w:val="0"/>
          <w:bCs w:val="0"/>
          <w:color w:val="auto"/>
          <w:kern w:val="2"/>
          <w:sz w:val="32"/>
          <w:szCs w:val="32"/>
          <w:highlight w:val="none"/>
          <w:lang w:val="en-US" w:eastAsia="zh-CN" w:bidi="ar-SA"/>
        </w:rPr>
        <w:t>按照服务政府、阳光政府、法治政府的要求，在办理行政许可的过程中，转变思想转变职能，依法履行职责，规范工作流程，公正透明，廉洁高效，构建行政管理体制，主动上门发放通知，首问负责，简化程序，快速办理等方法，从管理型转变为服务型政府部门。</w:t>
      </w:r>
      <w:r>
        <w:rPr>
          <w:rFonts w:hint="eastAsia" w:ascii="仿宋_GB2312" w:hAnsi="仿宋_GB2312" w:eastAsia="仿宋_GB2312" w:cs="仿宋_GB2312"/>
          <w:b w:val="0"/>
          <w:bCs w:val="0"/>
          <w:color w:val="auto"/>
          <w:sz w:val="32"/>
          <w:szCs w:val="32"/>
          <w:lang w:val="en-US" w:eastAsia="zh-CN"/>
        </w:rPr>
        <w:t>潢川县城市管理局2025年度行政许可申请541件，受理541件，准予许可541件，办结率100%。</w:t>
      </w:r>
    </w:p>
    <w:p w14:paraId="1012C441">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textAlignment w:val="auto"/>
        <w:rPr>
          <w:rFonts w:hint="eastAsia" w:ascii="楷体" w:hAnsi="楷体" w:eastAsia="楷体" w:cs="楷体"/>
          <w:b/>
          <w:bCs/>
          <w:color w:val="auto"/>
          <w:sz w:val="32"/>
          <w:szCs w:val="32"/>
          <w:lang w:val="en-US" w:eastAsia="zh-CN"/>
        </w:rPr>
      </w:pPr>
      <w:r>
        <w:rPr>
          <w:rFonts w:hint="eastAsia" w:ascii="楷体" w:hAnsi="楷体" w:eastAsia="楷体" w:cs="楷体"/>
          <w:b/>
          <w:bCs/>
          <w:color w:val="auto"/>
          <w:kern w:val="2"/>
          <w:sz w:val="32"/>
          <w:szCs w:val="32"/>
          <w:lang w:val="en-US" w:eastAsia="zh-CN" w:bidi="ar-SA"/>
        </w:rPr>
        <w:t>（三）</w:t>
      </w:r>
      <w:r>
        <w:rPr>
          <w:rFonts w:hint="eastAsia" w:ascii="楷体" w:hAnsi="楷体" w:eastAsia="楷体" w:cs="楷体"/>
          <w:b/>
          <w:bCs/>
          <w:color w:val="auto"/>
          <w:sz w:val="32"/>
          <w:szCs w:val="32"/>
          <w:lang w:val="en-US" w:eastAsia="zh-CN"/>
        </w:rPr>
        <w:t>全力支持司法权威，依法履行判决裁定</w:t>
      </w:r>
    </w:p>
    <w:p w14:paraId="0E888C9A">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sz w:val="32"/>
          <w:szCs w:val="32"/>
          <w:highlight w:val="none"/>
          <w:lang w:val="en-US" w:eastAsia="zh-CN"/>
        </w:rPr>
        <w:t>2025年度涉及我单位的</w:t>
      </w:r>
      <w:r>
        <w:rPr>
          <w:rFonts w:hint="eastAsia" w:ascii="仿宋_GB2312" w:hAnsi="仿宋_GB2312" w:eastAsia="仿宋_GB2312" w:cs="仿宋_GB2312"/>
          <w:color w:val="auto"/>
          <w:sz w:val="32"/>
          <w:szCs w:val="32"/>
          <w:lang w:val="en-US" w:eastAsia="zh-CN"/>
        </w:rPr>
        <w:t>行政诉讼、民事诉讼、行政复议共8起。其中：行政诉讼案件2起，民事诉讼案件4起；（其中1</w:t>
      </w:r>
      <w:r>
        <w:rPr>
          <w:rFonts w:hint="eastAsia" w:ascii="仿宋_GB2312" w:hAnsi="仿宋_GB2312" w:eastAsia="仿宋_GB2312" w:cs="仿宋_GB2312"/>
          <w:color w:val="auto"/>
          <w:spacing w:val="1"/>
          <w:sz w:val="32"/>
          <w:szCs w:val="32"/>
          <w:lang w:val="en-US" w:eastAsia="zh-CN"/>
        </w:rPr>
        <w:t>起已审结、</w:t>
      </w:r>
      <w:r>
        <w:rPr>
          <w:rFonts w:hint="eastAsia" w:ascii="仿宋_GB2312" w:hAnsi="仿宋_GB2312" w:eastAsia="仿宋_GB2312" w:cs="仿宋_GB2312"/>
          <w:color w:val="auto"/>
          <w:sz w:val="32"/>
          <w:szCs w:val="32"/>
          <w:lang w:val="en-US" w:eastAsia="zh-CN"/>
        </w:rPr>
        <w:t>等待法院裁判3起、1起正在调解、1起调解完成</w:t>
      </w:r>
      <w:r>
        <w:rPr>
          <w:rFonts w:hint="eastAsia" w:ascii="仿宋_GB2312" w:hAnsi="仿宋_GB2312" w:eastAsia="仿宋_GB2312" w:cs="仿宋_GB2312"/>
          <w:color w:val="auto"/>
          <w:spacing w:val="1"/>
          <w:sz w:val="32"/>
          <w:szCs w:val="32"/>
          <w:lang w:val="en-US" w:eastAsia="zh-CN"/>
        </w:rPr>
        <w:t>）。</w:t>
      </w:r>
      <w:r>
        <w:rPr>
          <w:rFonts w:hint="eastAsia" w:ascii="仿宋_GB2312" w:hAnsi="仿宋_GB2312" w:eastAsia="仿宋_GB2312" w:cs="仿宋_GB2312"/>
          <w:color w:val="auto"/>
          <w:sz w:val="32"/>
          <w:szCs w:val="32"/>
          <w:lang w:val="en-US" w:eastAsia="zh-CN"/>
        </w:rPr>
        <w:t>行政复议案件2起（1起</w:t>
      </w:r>
      <w:r>
        <w:rPr>
          <w:rFonts w:hint="eastAsia" w:ascii="仿宋_GB2312" w:hAnsi="仿宋_GB2312" w:eastAsia="仿宋_GB2312" w:cs="仿宋_GB2312"/>
          <w:color w:val="auto"/>
          <w:spacing w:val="1"/>
          <w:sz w:val="32"/>
          <w:szCs w:val="32"/>
          <w:lang w:val="en-US" w:eastAsia="zh-CN"/>
        </w:rPr>
        <w:t>暂时中止行政复议、</w:t>
      </w:r>
      <w:r>
        <w:rPr>
          <w:rFonts w:hint="eastAsia" w:ascii="仿宋_GB2312" w:hAnsi="仿宋_GB2312" w:eastAsia="仿宋_GB2312" w:cs="仿宋_GB2312"/>
          <w:color w:val="auto"/>
          <w:sz w:val="32"/>
          <w:szCs w:val="32"/>
          <w:lang w:val="en-US" w:eastAsia="zh-CN"/>
        </w:rPr>
        <w:t>1起调解完成）。</w:t>
      </w:r>
      <w:r>
        <w:rPr>
          <w:rFonts w:hint="eastAsia" w:ascii="仿宋_GB2312" w:hAnsi="仿宋_GB2312" w:eastAsia="仿宋_GB2312" w:cs="仿宋_GB2312"/>
          <w:b w:val="0"/>
          <w:bCs w:val="0"/>
          <w:color w:val="auto"/>
          <w:sz w:val="32"/>
          <w:szCs w:val="32"/>
          <w:highlight w:val="none"/>
          <w:lang w:val="en-US" w:eastAsia="zh-CN"/>
        </w:rPr>
        <w:t>我单位对所有的人民法院生效判决、裁定都能依法自觉履行。</w:t>
      </w:r>
    </w:p>
    <w:p w14:paraId="1D12F3AF">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textAlignment w:val="auto"/>
        <w:rPr>
          <w:rFonts w:hint="eastAsia" w:ascii="楷体" w:hAnsi="楷体" w:eastAsia="楷体" w:cs="楷体"/>
          <w:b/>
          <w:bCs/>
          <w:color w:val="auto"/>
          <w:sz w:val="32"/>
          <w:szCs w:val="32"/>
          <w:lang w:val="en-US" w:eastAsia="zh-CN"/>
        </w:rPr>
      </w:pPr>
      <w:r>
        <w:rPr>
          <w:rFonts w:hint="eastAsia" w:ascii="楷体" w:hAnsi="楷体" w:eastAsia="楷体" w:cs="楷体"/>
          <w:b/>
          <w:bCs/>
          <w:color w:val="auto"/>
          <w:kern w:val="2"/>
          <w:sz w:val="32"/>
          <w:szCs w:val="32"/>
          <w:lang w:val="en-US" w:eastAsia="zh-CN" w:bidi="ar-SA"/>
        </w:rPr>
        <w:t>（四）坚持依法行政，不断规范城市管理行政执法行为</w:t>
      </w:r>
    </w:p>
    <w:p w14:paraId="5A07C7D8">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潢川县城市管理局为切实加强工作作风建设，不断提高城管队伍的整体形象和工作效能。一是强化队伍建设。为深入学习贯彻习近平法治思想，扎实推进法治专门队伍革命化、正规化、专业化、职业化建设，切实提升行政执法人员职业素养和专业水平，有力促进严格规范公正文明执法。我局积极开展正风肃纪专项行动。严禁所有执法人员向执法对象“吃、拿、卡、要、报”，全力提升队伍的执法和管理水平，切实打造“廉洁、勤政、务实、高效”的城管队伍;二是依法依规开展行政处罚工作。依据《中华人民共和国行政处罚法》、《河南省住房和城乡建设厅行政处罚裁量标准》等相关法律法规，依法立案，依法调查，依法处理。三是加强行政处罚案件结案跟踪落实，对我局没有行政强制执行权的事项，依法申请法院强制执行。</w:t>
      </w:r>
    </w:p>
    <w:p w14:paraId="7C43DC52">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截至目前，潢川县城市管理局（城市综合执法局）行政处罚承办案件数29件，行政处罚罚款案件数12件，罚没款总额33.80856万元。依法向县人民法院申请行政非诉裁定案件1起，向县人民法院执行局申请强制执行一般程序案件1起。</w:t>
      </w:r>
    </w:p>
    <w:p w14:paraId="609521B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color w:val="auto"/>
          <w:kern w:val="2"/>
          <w:sz w:val="32"/>
          <w:szCs w:val="32"/>
          <w:shd w:val="clear" w:color="auto" w:fill="auto"/>
          <w:lang w:val="en-US" w:eastAsia="zh-CN" w:bidi="ar-SA"/>
        </w:rPr>
      </w:pPr>
      <w:r>
        <w:rPr>
          <w:rFonts w:hint="eastAsia" w:ascii="楷体" w:hAnsi="楷体" w:eastAsia="楷体" w:cs="楷体"/>
          <w:b/>
          <w:bCs/>
          <w:color w:val="auto"/>
          <w:kern w:val="2"/>
          <w:sz w:val="32"/>
          <w:szCs w:val="32"/>
          <w:shd w:val="clear" w:color="auto" w:fill="auto"/>
          <w:lang w:val="en-US" w:eastAsia="zh-CN" w:bidi="ar-SA"/>
        </w:rPr>
        <w:t>（五）加强制度和装备建设，保障“三项制度”落到实处</w:t>
      </w:r>
    </w:p>
    <w:p w14:paraId="6A4695CD">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bCs/>
          <w:color w:val="auto"/>
          <w:sz w:val="32"/>
          <w:szCs w:val="32"/>
          <w:highlight w:val="none"/>
          <w:shd w:val="clear" w:color="auto" w:fill="auto"/>
          <w:lang w:val="en-US" w:eastAsia="zh-CN"/>
        </w:rPr>
        <w:t>认真执行行政执法公示制度。</w:t>
      </w:r>
      <w:r>
        <w:rPr>
          <w:rFonts w:hint="eastAsia" w:ascii="仿宋_GB2312" w:hAnsi="仿宋_GB2312" w:eastAsia="仿宋_GB2312" w:cs="仿宋_GB2312"/>
          <w:b w:val="0"/>
          <w:bCs w:val="0"/>
          <w:color w:val="auto"/>
          <w:sz w:val="32"/>
          <w:szCs w:val="32"/>
          <w:highlight w:val="none"/>
          <w:shd w:val="clear" w:color="auto" w:fill="auto"/>
          <w:lang w:val="en-US" w:eastAsia="zh-CN"/>
        </w:rPr>
        <w:t>做到事前公示。按照省、市、县制定的信息公示内容的标准、格式，及时对我局权责清单进行了全面梳理，并编制了行政执法流程图，在潢川政府网上进行了公示，主动接受社会监督；规范事中公开，制定执法人员日常行为规范和文明用语规范，统一着装，佩戴标志标识，从事执法活动时应主动出示证件，表明身份；加强事后公开，制定了行政执法公示具体办法，明确了执法公示的范围、内容、载体、程序、时限要求和监督方式等事项，全面、及时、准确公开有关行政执法信息。按照规定向社会公布执法决定信息，</w:t>
      </w:r>
      <w:r>
        <w:rPr>
          <w:rFonts w:hint="eastAsia" w:ascii="仿宋_GB2312" w:hAnsi="仿宋_GB2312" w:eastAsia="仿宋_GB2312" w:cs="仿宋_GB2312"/>
          <w:b w:val="0"/>
          <w:bCs w:val="0"/>
          <w:color w:val="auto"/>
          <w:sz w:val="32"/>
          <w:szCs w:val="32"/>
          <w:highlight w:val="none"/>
          <w:lang w:val="en-US" w:eastAsia="zh-CN"/>
        </w:rPr>
        <w:t>其中行政处罚12条，行政许可541条在网上公示，接受社会监督。</w:t>
      </w:r>
    </w:p>
    <w:p w14:paraId="24EA4D6E">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持续完善行政执法全过程记录制度。</w:t>
      </w:r>
      <w:r>
        <w:rPr>
          <w:rFonts w:hint="eastAsia" w:ascii="仿宋_GB2312" w:hAnsi="仿宋_GB2312" w:eastAsia="仿宋_GB2312" w:cs="仿宋_GB2312"/>
          <w:b w:val="0"/>
          <w:bCs w:val="0"/>
          <w:color w:val="auto"/>
          <w:sz w:val="32"/>
          <w:szCs w:val="32"/>
          <w:lang w:val="en-US" w:eastAsia="zh-CN"/>
        </w:rPr>
        <w:t>一是规范执法文书。在执法过程中使用统一格式的执法文书，确保内容完整准确，对执法各个环节进行文字记录。二是完善执法设备。配备了执法记录仪100部、对讲机100部、摄像机1部、照像机1部、无人机1台，对执法过程中现场执法、调查取证、举行听证等环节进行音像记录，防止证据灭失。三是建立健全行政执法案卷。我局严格遵循 “一案一卷、规范整理” 原则，全面收集执法文书、证据材料等相关资料，确保案卷内容完整、顺序规范。明确立卷归档时限与标准，实行专人保管、集中管理，同步推进案卷电子化建设与保密管理。通过定期案卷评查，强化全过程留痕与可回溯管理，助推执法规范化水平提升。</w:t>
      </w:r>
    </w:p>
    <w:p w14:paraId="741C1B6A">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严格落实重大执法决定法制审核制度。</w:t>
      </w:r>
      <w:r>
        <w:rPr>
          <w:rFonts w:hint="eastAsia" w:ascii="仿宋_GB2312" w:hAnsi="仿宋_GB2312" w:eastAsia="仿宋_GB2312" w:cs="仿宋_GB2312"/>
          <w:b w:val="0"/>
          <w:bCs w:val="0"/>
          <w:color w:val="auto"/>
          <w:sz w:val="32"/>
          <w:szCs w:val="32"/>
          <w:lang w:val="en-US" w:eastAsia="zh-CN"/>
        </w:rPr>
        <w:t>成立以局长为组长，班子成员，执法大队副大队长为副组长的案件审核委员会，定期对案件进行审核，对涉及重大公共利益，可能造成重大社会影响，或是作出责令停产停业，作出较大数额罚款的案件进行集体讨论通过。完善重大执法决定法制审核的工作机制，对执法程序、执法主体、案件事实、证据、行政执法文书进行严格审核，确保法审核工作专人负责，明确政策法规股为全局法制审核机构。截止目前，共核审卷宗12件。</w:t>
      </w:r>
    </w:p>
    <w:p w14:paraId="517D929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（六）推进法治宣传教育，培育社会法治氛围</w:t>
      </w:r>
    </w:p>
    <w:p w14:paraId="5353064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为深入贯彻落实“谁执法谁普法”责任制，我局以提升市民法治素养、构建共建共治共享城市管理格局为目标，多措并举推进法治宣传教育，全方位培育浓厚社会法治氛围。</w:t>
      </w:r>
    </w:p>
    <w:p w14:paraId="7E8B69F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构建“线上+线下”立体化宣传矩阵，拓宽普法覆盖面。线上依托微信公众号、抖音等新媒体平台，打造“每周法条”，每周定期推送市容环卫、违建管控、市政设施管理等高频领域法律法规解读、典型案例剖析及执法动态，通过动画短视频、图文漫画等群众喜闻乐见的形式，让普法内容更易接受、更入人心，今年累计发布各类普法信息100余条。线下聚焦重点区域和人群，组织“普法进社区、进商户、进校园、进工地”专项活动，通过设置宣传展板、发放手册、现场答疑等形式，精准普及与群众生产生活密切相关的法律知识。</w:t>
      </w:r>
    </w:p>
    <w:p w14:paraId="09A9868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highlight w:val="none"/>
          <w:lang w:val="en-US" w:eastAsia="zh-CN"/>
        </w:rPr>
        <w:t>深化“执法+普法”融合模式，提升普法实效性。将普法融入执法全过程，在案件办理中推行“事前释法、事中说理、事后回访”机制，执法人员在执法过程中主动向当事人讲解相关法律依据、违法后果及整改要求，做到“办理一案、普法一片”。同时，建立普法反馈机制，通过问卷调查、座谈交流等方式收集群众普法需求，动态调整宣传内容与形式，确保普法工作精准对接群众需求，推动形成“人人学法懂法、自觉守法用法”的良好城市治理法治环境。</w:t>
      </w:r>
    </w:p>
    <w:p w14:paraId="35B6486C">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2025年推进法治政府建设存在的不足、原因和整改情况</w:t>
      </w:r>
    </w:p>
    <w:p w14:paraId="35BCD184">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color w:val="auto"/>
          <w:sz w:val="32"/>
          <w:szCs w:val="32"/>
          <w:lang w:val="en-US" w:eastAsia="zh-CN"/>
        </w:rPr>
      </w:pPr>
      <w:bookmarkStart w:id="0" w:name="OLE_LINK26"/>
      <w:bookmarkStart w:id="1" w:name="OLE_LINK67"/>
      <w:r>
        <w:rPr>
          <w:rFonts w:hint="eastAsia" w:ascii="楷体" w:hAnsi="楷体" w:eastAsia="楷体" w:cs="楷体"/>
          <w:b/>
          <w:bCs/>
          <w:color w:val="auto"/>
          <w:sz w:val="32"/>
          <w:szCs w:val="32"/>
          <w:lang w:val="en-US" w:eastAsia="zh-CN"/>
        </w:rPr>
        <w:t>存在的不足及原因</w:t>
      </w:r>
    </w:p>
    <w:p w14:paraId="04006FEE">
      <w:pPr>
        <w:keepNext w:val="0"/>
        <w:keepLines w:val="0"/>
        <w:pageBreakBefore w:val="0"/>
        <w:widowControl w:val="0"/>
        <w:numPr>
          <w:ilvl w:val="0"/>
          <w:numId w:val="9"/>
        </w:numPr>
        <w:kinsoku/>
        <w:wordWrap/>
        <w:overflowPunct/>
        <w:topLinePunct w:val="0"/>
        <w:autoSpaceDE/>
        <w:autoSpaceDN/>
        <w:bidi w:val="0"/>
        <w:adjustRightInd/>
        <w:snapToGrid/>
        <w:spacing w:line="560" w:lineRule="exact"/>
        <w:ind w:left="0" w:leftChars="0" w:firstLine="675" w:firstLineChars="200"/>
        <w:textAlignment w:val="auto"/>
        <w:rPr>
          <w:rFonts w:hint="eastAsia" w:ascii="仿宋_GB2312" w:hAnsi="仿宋_GB2312" w:eastAsia="仿宋_GB2312" w:cs="仿宋_GB2312"/>
          <w:b w:val="0"/>
          <w:bCs w:val="0"/>
          <w:color w:val="auto"/>
          <w:spacing w:val="8"/>
          <w:kern w:val="2"/>
          <w:sz w:val="32"/>
          <w:szCs w:val="32"/>
          <w:shd w:val="clear" w:color="auto" w:fill="FFFFFF"/>
          <w:lang w:val="en-US" w:eastAsia="zh-CN" w:bidi="ar-SA"/>
        </w:rPr>
      </w:pPr>
      <w:r>
        <w:rPr>
          <w:rFonts w:hint="eastAsia" w:ascii="仿宋_GB2312" w:hAnsi="仿宋_GB2312" w:eastAsia="仿宋_GB2312" w:cs="仿宋_GB2312"/>
          <w:b/>
          <w:bCs/>
          <w:color w:val="auto"/>
          <w:spacing w:val="8"/>
          <w:kern w:val="2"/>
          <w:sz w:val="32"/>
          <w:szCs w:val="32"/>
          <w:shd w:val="clear" w:color="auto" w:fill="FFFFFF"/>
          <w:lang w:val="en-US" w:eastAsia="zh-CN" w:bidi="ar-SA"/>
        </w:rPr>
        <w:t>理论学习方式不够深入。</w:t>
      </w:r>
      <w:r>
        <w:rPr>
          <w:rFonts w:hint="eastAsia" w:ascii="仿宋_GB2312" w:hAnsi="仿宋_GB2312" w:eastAsia="仿宋_GB2312" w:cs="仿宋_GB2312"/>
          <w:b w:val="0"/>
          <w:bCs w:val="0"/>
          <w:color w:val="auto"/>
          <w:spacing w:val="8"/>
          <w:kern w:val="2"/>
          <w:sz w:val="32"/>
          <w:szCs w:val="32"/>
          <w:shd w:val="clear" w:color="auto" w:fill="FFFFFF"/>
          <w:lang w:val="en-US" w:eastAsia="zh-CN" w:bidi="ar-SA"/>
        </w:rPr>
        <w:t>学用结合不紧密，对上级有关文件精神传达学习多，研究具体城市管理前沿问题少，针对性不强，知行合一的示范性作用不明显。</w:t>
      </w:r>
    </w:p>
    <w:p w14:paraId="6FD22056">
      <w:pPr>
        <w:keepNext w:val="0"/>
        <w:keepLines w:val="0"/>
        <w:pageBreakBefore w:val="0"/>
        <w:widowControl w:val="0"/>
        <w:numPr>
          <w:ilvl w:val="0"/>
          <w:numId w:val="9"/>
        </w:numPr>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val="en-US" w:eastAsia="zh-CN"/>
        </w:rPr>
        <w:t>执法水平有待提高。</w:t>
      </w:r>
      <w:r>
        <w:rPr>
          <w:rFonts w:hint="eastAsia" w:ascii="仿宋_GB2312" w:hAnsi="仿宋_GB2312" w:eastAsia="仿宋_GB2312" w:cs="仿宋_GB2312"/>
          <w:color w:val="auto"/>
          <w:sz w:val="32"/>
          <w:szCs w:val="32"/>
          <w:lang w:val="en-US" w:eastAsia="zh-CN"/>
        </w:rPr>
        <w:t>部分人员</w:t>
      </w:r>
      <w:r>
        <w:rPr>
          <w:rFonts w:hint="eastAsia" w:ascii="仿宋_GB2312" w:hAnsi="仿宋_GB2312" w:eastAsia="仿宋_GB2312" w:cs="仿宋_GB2312"/>
          <w:color w:val="auto"/>
          <w:sz w:val="32"/>
          <w:szCs w:val="32"/>
        </w:rPr>
        <w:t>法治思维和法律知识总体水平还不够高。运用法律知识解决实际工作能力还不够强，专业人才队伍紧缺，具备专业法律知识的人才较少，少数工作人员对于国家新出台的法律法规仍不够熟悉，运用法治思维和法治方式开展工作的能力不足，法律意识和依法行政能力有待加强。</w:t>
      </w:r>
    </w:p>
    <w:p w14:paraId="01986867">
      <w:pPr>
        <w:keepNext w:val="0"/>
        <w:keepLines w:val="0"/>
        <w:pageBreakBefore w:val="0"/>
        <w:widowControl w:val="0"/>
        <w:numPr>
          <w:ilvl w:val="0"/>
          <w:numId w:val="9"/>
        </w:numPr>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bCs/>
          <w:color w:val="auto"/>
          <w:sz w:val="32"/>
          <w:szCs w:val="32"/>
          <w:lang w:val="en-US" w:eastAsia="zh-CN"/>
        </w:rPr>
        <w:t>社会认知度不高。</w:t>
      </w:r>
      <w:r>
        <w:rPr>
          <w:rFonts w:hint="eastAsia" w:ascii="仿宋_GB2312" w:hAnsi="仿宋_GB2312" w:eastAsia="仿宋_GB2312" w:cs="仿宋_GB2312"/>
          <w:b w:val="0"/>
          <w:bCs w:val="0"/>
          <w:color w:val="auto"/>
          <w:sz w:val="32"/>
          <w:szCs w:val="32"/>
          <w:lang w:val="en-US" w:eastAsia="zh-CN"/>
        </w:rPr>
        <w:t>尽管城市管理部门在法治化建设方面付出了诸多努力，但在向公众普及城市管理法律法规、政策解读等方面仍存在不足。很多市民对城市管理法治化的概念、目的和具体内容缺乏深入了解，导致在面临城市管理执法行为时容易产生误解和抵触情绪。</w:t>
      </w:r>
    </w:p>
    <w:p w14:paraId="71D9065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color w:val="auto"/>
          <w:sz w:val="32"/>
          <w:szCs w:val="32"/>
        </w:rPr>
      </w:pPr>
      <w:r>
        <w:rPr>
          <w:rFonts w:hint="eastAsia" w:ascii="楷体" w:hAnsi="楷体" w:eastAsia="楷体" w:cs="楷体"/>
          <w:b/>
          <w:bCs/>
          <w:color w:val="auto"/>
          <w:sz w:val="32"/>
          <w:szCs w:val="32"/>
          <w:lang w:eastAsia="zh-CN"/>
        </w:rPr>
        <w:t>（</w:t>
      </w:r>
      <w:r>
        <w:rPr>
          <w:rFonts w:hint="eastAsia" w:ascii="楷体" w:hAnsi="楷体" w:eastAsia="楷体" w:cs="楷体"/>
          <w:b/>
          <w:bCs/>
          <w:color w:val="auto"/>
          <w:sz w:val="32"/>
          <w:szCs w:val="32"/>
          <w:lang w:val="en-US" w:eastAsia="zh-CN"/>
        </w:rPr>
        <w:t>二</w:t>
      </w:r>
      <w:r>
        <w:rPr>
          <w:rFonts w:hint="eastAsia" w:ascii="楷体" w:hAnsi="楷体" w:eastAsia="楷体" w:cs="楷体"/>
          <w:b/>
          <w:bCs/>
          <w:color w:val="auto"/>
          <w:sz w:val="32"/>
          <w:szCs w:val="32"/>
          <w:lang w:eastAsia="zh-CN"/>
        </w:rPr>
        <w:t>）</w:t>
      </w:r>
      <w:r>
        <w:rPr>
          <w:rFonts w:hint="eastAsia" w:ascii="楷体" w:hAnsi="楷体" w:eastAsia="楷体" w:cs="楷体"/>
          <w:b/>
          <w:bCs/>
          <w:color w:val="auto"/>
          <w:sz w:val="32"/>
          <w:szCs w:val="32"/>
          <w:lang w:val="en-US" w:eastAsia="zh-CN"/>
        </w:rPr>
        <w:t>问题</w:t>
      </w:r>
      <w:r>
        <w:rPr>
          <w:rFonts w:hint="eastAsia" w:ascii="楷体" w:hAnsi="楷体" w:eastAsia="楷体" w:cs="楷体"/>
          <w:b/>
          <w:bCs/>
          <w:color w:val="auto"/>
          <w:sz w:val="32"/>
          <w:szCs w:val="32"/>
        </w:rPr>
        <w:t>整改情况</w:t>
      </w:r>
    </w:p>
    <w:p w14:paraId="34E96C83">
      <w:pPr>
        <w:keepNext w:val="0"/>
        <w:keepLines w:val="0"/>
        <w:pageBreakBefore w:val="0"/>
        <w:widowControl w:val="0"/>
        <w:numPr>
          <w:ilvl w:val="0"/>
          <w:numId w:val="10"/>
        </w:numPr>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bCs/>
          <w:color w:val="auto"/>
          <w:sz w:val="32"/>
          <w:szCs w:val="32"/>
        </w:rPr>
        <w:t>强化理论学习</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val="0"/>
          <w:bCs w:val="0"/>
          <w:color w:val="auto"/>
          <w:sz w:val="32"/>
          <w:szCs w:val="32"/>
        </w:rPr>
        <w:t>丰富理论学习方式，除传统集中学习与个人自学外，增加专题研讨、案例分析、实地调研等多元形式。</w:t>
      </w:r>
      <w:r>
        <w:rPr>
          <w:rFonts w:hint="eastAsia" w:ascii="仿宋_GB2312" w:hAnsi="仿宋_GB2312" w:eastAsia="仿宋_GB2312" w:cs="仿宋_GB2312"/>
          <w:b w:val="0"/>
          <w:bCs w:val="0"/>
          <w:color w:val="auto"/>
          <w:sz w:val="32"/>
          <w:szCs w:val="32"/>
          <w:lang w:val="en-US" w:eastAsia="zh-CN"/>
        </w:rPr>
        <w:t>积极</w:t>
      </w:r>
      <w:r>
        <w:rPr>
          <w:rFonts w:hint="eastAsia" w:ascii="仿宋_GB2312" w:hAnsi="仿宋_GB2312" w:eastAsia="仿宋_GB2312" w:cs="仿宋_GB2312"/>
          <w:b w:val="0"/>
          <w:bCs w:val="0"/>
          <w:color w:val="auto"/>
          <w:sz w:val="32"/>
          <w:szCs w:val="32"/>
        </w:rPr>
        <w:t>组织城市管理前沿问题专题研讨会，要求各部门结合工作实际提出问题与思考，共同探讨解决方案，形成学用结合的良性循环。加强对上级文件精神的深入剖析</w:t>
      </w:r>
      <w:r>
        <w:rPr>
          <w:rFonts w:hint="eastAsia" w:ascii="仿宋_GB2312" w:hAnsi="仿宋_GB2312" w:eastAsia="仿宋_GB2312" w:cs="仿宋_GB2312"/>
          <w:b w:val="0"/>
          <w:bCs w:val="0"/>
          <w:color w:val="auto"/>
          <w:sz w:val="32"/>
          <w:szCs w:val="32"/>
          <w:lang w:eastAsia="zh-CN"/>
        </w:rPr>
        <w:t>。</w:t>
      </w:r>
    </w:p>
    <w:p w14:paraId="79EA5602">
      <w:pPr>
        <w:keepNext w:val="0"/>
        <w:keepLines w:val="0"/>
        <w:pageBreakBefore w:val="0"/>
        <w:widowControl w:val="0"/>
        <w:numPr>
          <w:ilvl w:val="0"/>
          <w:numId w:val="10"/>
        </w:numPr>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bCs/>
          <w:color w:val="auto"/>
          <w:sz w:val="32"/>
          <w:szCs w:val="32"/>
        </w:rPr>
        <w:t>加强执法培训</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val="0"/>
          <w:bCs w:val="0"/>
          <w:color w:val="auto"/>
          <w:sz w:val="32"/>
          <w:szCs w:val="32"/>
        </w:rPr>
        <w:t>制定系统的年度执法人员培训计划，涵盖宪法、行政处罚法、行政强制法等基础法律知识以及城市管理相关专业法律法规，每季度组织一次法律知识考核，将考核成绩与绩效挂钩，激励执法人员主动学习。积极引进具有法律专业背景的人才，优化人员结构，提高法律专业人才占比。帮助非法律专业工作人员提升法律素养。</w:t>
      </w:r>
    </w:p>
    <w:p w14:paraId="23E6CD79">
      <w:pPr>
        <w:keepNext w:val="0"/>
        <w:keepLines w:val="0"/>
        <w:pageBreakBefore w:val="0"/>
        <w:widowControl w:val="0"/>
        <w:numPr>
          <w:ilvl w:val="0"/>
          <w:numId w:val="10"/>
        </w:numPr>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rPr>
        <w:t>深化法治宣传</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val="0"/>
          <w:bCs w:val="0"/>
          <w:color w:val="auto"/>
          <w:sz w:val="32"/>
          <w:szCs w:val="32"/>
        </w:rPr>
        <w:t>构建全方位的城市管理法律法规宣传体系，利用社交媒体平台等新媒体渠道，定期发布城市管理法律法规解读文章、短视频等通俗易懂的宣传资料。组织执法人员深入基层进行法律宣讲与案例分析，提高不同群体对城市管理法治化的认知度与认同感。建立公众意见反馈机制，在执法过程中主动向当事人解释执法依据与目的，及时处理公众的疑问与投诉，化解误解与抵触情绪，营造良好的城市管理法治环境。</w:t>
      </w:r>
    </w:p>
    <w:bookmarkEnd w:id="0"/>
    <w:bookmarkEnd w:id="1"/>
    <w:p w14:paraId="28108116">
      <w:pPr>
        <w:keepNext w:val="0"/>
        <w:keepLines w:val="0"/>
        <w:pageBreakBefore w:val="0"/>
        <w:numPr>
          <w:ilvl w:val="0"/>
          <w:numId w:val="2"/>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2025年推进法治政府建设的初步安排</w:t>
      </w:r>
    </w:p>
    <w:p w14:paraId="0A281263">
      <w:pPr>
        <w:keepNext w:val="0"/>
        <w:keepLines w:val="0"/>
        <w:pageBreakBefore w:val="0"/>
        <w:numPr>
          <w:ilvl w:val="0"/>
          <w:numId w:val="0"/>
        </w:numPr>
        <w:kinsoku/>
        <w:wordWrap/>
        <w:overflowPunct/>
        <w:topLinePunct w:val="0"/>
        <w:autoSpaceDE/>
        <w:autoSpaceDN/>
        <w:bidi w:val="0"/>
        <w:adjustRightInd/>
        <w:spacing w:line="560" w:lineRule="exact"/>
        <w:ind w:left="0" w:leftChars="0" w:firstLine="640" w:firstLineChars="200"/>
        <w:textAlignment w:val="auto"/>
        <w:rPr>
          <w:rFonts w:hint="eastAsia" w:ascii="仿宋_GB2312" w:hAnsi="仿宋_GB2312" w:eastAsia="仿宋_GB2312" w:cs="仿宋_GB2312"/>
          <w:b w:val="0"/>
          <w:bCs w:val="0"/>
          <w:i w:val="0"/>
          <w:iCs w:val="0"/>
          <w:caps w:val="0"/>
          <w:color w:val="auto"/>
          <w:spacing w:val="0"/>
          <w:sz w:val="32"/>
          <w:szCs w:val="32"/>
          <w:shd w:val="clear" w:fill="FFFFFF"/>
        </w:rPr>
      </w:pPr>
      <w:r>
        <w:rPr>
          <w:rFonts w:hint="eastAsia" w:ascii="仿宋_GB2312" w:hAnsi="仿宋_GB2312" w:eastAsia="仿宋_GB2312" w:cs="仿宋_GB2312"/>
          <w:b w:val="0"/>
          <w:bCs w:val="0"/>
          <w:i w:val="0"/>
          <w:iCs w:val="0"/>
          <w:caps w:val="0"/>
          <w:color w:val="auto"/>
          <w:spacing w:val="0"/>
          <w:sz w:val="32"/>
          <w:szCs w:val="32"/>
          <w:shd w:val="clear" w:fill="FFFFFF"/>
        </w:rPr>
        <w:t>在</w:t>
      </w: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2025年</w:t>
      </w:r>
      <w:r>
        <w:rPr>
          <w:rFonts w:hint="eastAsia" w:ascii="仿宋_GB2312" w:hAnsi="仿宋_GB2312" w:eastAsia="仿宋_GB2312" w:cs="仿宋_GB2312"/>
          <w:b w:val="0"/>
          <w:bCs w:val="0"/>
          <w:i w:val="0"/>
          <w:iCs w:val="0"/>
          <w:caps w:val="0"/>
          <w:color w:val="auto"/>
          <w:spacing w:val="0"/>
          <w:sz w:val="32"/>
          <w:szCs w:val="32"/>
          <w:shd w:val="clear" w:fill="FFFFFF"/>
        </w:rPr>
        <w:t>行政执法工作中，我局将立足新发展阶段、贯彻新发展理念、构建新发展格局，紧扣高质量发展主题，扎实开展法治建设各项工作</w:t>
      </w:r>
      <w:r>
        <w:rPr>
          <w:rFonts w:hint="eastAsia" w:ascii="仿宋_GB2312" w:hAnsi="仿宋_GB2312" w:eastAsia="仿宋_GB2312" w:cs="仿宋_GB2312"/>
          <w:b w:val="0"/>
          <w:bCs w:val="0"/>
          <w:i w:val="0"/>
          <w:iCs w:val="0"/>
          <w:caps w:val="0"/>
          <w:color w:val="auto"/>
          <w:spacing w:val="0"/>
          <w:sz w:val="32"/>
          <w:szCs w:val="32"/>
          <w:shd w:val="clear" w:fill="FFFFFF"/>
          <w:lang w:eastAsia="zh-CN"/>
        </w:rPr>
        <w:t>，</w:t>
      </w:r>
      <w:r>
        <w:rPr>
          <w:rFonts w:hint="eastAsia" w:ascii="仿宋_GB2312" w:hAnsi="仿宋_GB2312" w:eastAsia="仿宋_GB2312" w:cs="仿宋_GB2312"/>
          <w:b w:val="0"/>
          <w:bCs w:val="0"/>
          <w:i w:val="0"/>
          <w:iCs w:val="0"/>
          <w:caps w:val="0"/>
          <w:color w:val="auto"/>
          <w:spacing w:val="0"/>
          <w:sz w:val="32"/>
          <w:szCs w:val="32"/>
          <w:shd w:val="clear" w:fill="FFFFFF"/>
        </w:rPr>
        <w:t>健全完善城管执法长效机制，着力从以下</w:t>
      </w: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几</w:t>
      </w:r>
      <w:r>
        <w:rPr>
          <w:rFonts w:hint="eastAsia" w:ascii="仿宋_GB2312" w:hAnsi="仿宋_GB2312" w:eastAsia="仿宋_GB2312" w:cs="仿宋_GB2312"/>
          <w:b w:val="0"/>
          <w:bCs w:val="0"/>
          <w:i w:val="0"/>
          <w:iCs w:val="0"/>
          <w:caps w:val="0"/>
          <w:color w:val="auto"/>
          <w:spacing w:val="0"/>
          <w:sz w:val="32"/>
          <w:szCs w:val="32"/>
          <w:shd w:val="clear" w:fill="FFFFFF"/>
        </w:rPr>
        <w:t>个方面抓起。</w:t>
      </w:r>
      <w:bookmarkStart w:id="2" w:name="OLE_LINK28"/>
    </w:p>
    <w:p w14:paraId="49B2D87C">
      <w:pPr>
        <w:keepNext w:val="0"/>
        <w:keepLines w:val="0"/>
        <w:pageBreakBefore w:val="0"/>
        <w:numPr>
          <w:ilvl w:val="0"/>
          <w:numId w:val="0"/>
        </w:numPr>
        <w:kinsoku/>
        <w:wordWrap/>
        <w:overflowPunct/>
        <w:topLinePunct w:val="0"/>
        <w:autoSpaceDE/>
        <w:autoSpaceDN/>
        <w:bidi w:val="0"/>
        <w:adjustRightInd/>
        <w:spacing w:line="560" w:lineRule="exact"/>
        <w:ind w:left="0" w:leftChars="0" w:firstLine="643"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楷体" w:hAnsi="楷体" w:eastAsia="楷体" w:cs="楷体"/>
          <w:b/>
          <w:bCs/>
          <w:color w:val="auto"/>
          <w:kern w:val="2"/>
          <w:sz w:val="32"/>
          <w:szCs w:val="32"/>
          <w:lang w:val="en-US" w:eastAsia="zh-CN" w:bidi="ar-SA"/>
        </w:rPr>
        <w:t>（一）持续</w:t>
      </w:r>
      <w:r>
        <w:rPr>
          <w:rFonts w:hint="eastAsia" w:ascii="楷体" w:hAnsi="楷体" w:eastAsia="楷体" w:cs="楷体"/>
          <w:b/>
          <w:bCs/>
          <w:color w:val="auto"/>
          <w:kern w:val="0"/>
          <w:sz w:val="32"/>
          <w:szCs w:val="32"/>
          <w:lang w:val="en-US" w:eastAsia="zh-CN" w:bidi="ar"/>
        </w:rPr>
        <w:t>加强队伍建设。</w:t>
      </w:r>
      <w:bookmarkStart w:id="3" w:name="OLE_LINK64"/>
      <w:r>
        <w:rPr>
          <w:rFonts w:hint="eastAsia" w:ascii="仿宋_GB2312" w:hAnsi="仿宋_GB2312" w:eastAsia="仿宋_GB2312" w:cs="仿宋_GB2312"/>
          <w:b w:val="0"/>
          <w:bCs w:val="0"/>
          <w:color w:val="auto"/>
          <w:sz w:val="32"/>
          <w:szCs w:val="32"/>
          <w:lang w:val="en-US" w:eastAsia="zh-CN"/>
        </w:rPr>
        <w:t>坚持把理论学习作为提升干部法治能力的根本途径，通</w:t>
      </w:r>
      <w:r>
        <w:rPr>
          <w:rFonts w:hint="eastAsia" w:ascii="仿宋_GB2312" w:hAnsi="仿宋_GB2312" w:eastAsia="仿宋_GB2312" w:cs="仿宋_GB2312"/>
          <w:b w:val="0"/>
          <w:bCs w:val="0"/>
          <w:i w:val="0"/>
          <w:iCs w:val="0"/>
          <w:caps w:val="0"/>
          <w:color w:val="auto"/>
          <w:spacing w:val="0"/>
          <w:sz w:val="32"/>
          <w:szCs w:val="32"/>
          <w:shd w:val="clear" w:fill="FFFFFF"/>
        </w:rPr>
        <w:t>过完善领导干部和执法人员学法用法制度，建立健全培训考核制度、执法检查制度、领导干部带头学法用法制度</w:t>
      </w:r>
      <w:r>
        <w:rPr>
          <w:rFonts w:hint="eastAsia" w:ascii="仿宋_GB2312" w:hAnsi="仿宋_GB2312" w:eastAsia="仿宋_GB2312" w:cs="仿宋_GB2312"/>
          <w:b w:val="0"/>
          <w:bCs w:val="0"/>
          <w:color w:val="auto"/>
          <w:sz w:val="32"/>
          <w:szCs w:val="32"/>
          <w:lang w:val="en-US" w:eastAsia="zh-CN"/>
        </w:rPr>
        <w:t>。</w:t>
      </w:r>
      <w:r>
        <w:rPr>
          <w:rFonts w:hint="eastAsia" w:ascii="仿宋_GB2312" w:hAnsi="仿宋_GB2312" w:eastAsia="仿宋_GB2312" w:cs="仿宋_GB2312"/>
          <w:b w:val="0"/>
          <w:bCs w:val="0"/>
          <w:i w:val="0"/>
          <w:iCs w:val="0"/>
          <w:caps w:val="0"/>
          <w:color w:val="auto"/>
          <w:spacing w:val="0"/>
          <w:sz w:val="32"/>
          <w:szCs w:val="32"/>
          <w:shd w:val="clear" w:fill="FFFFFF"/>
        </w:rPr>
        <w:t>提升领导干部法治能力</w:t>
      </w:r>
      <w:r>
        <w:rPr>
          <w:rFonts w:hint="eastAsia" w:ascii="仿宋_GB2312" w:hAnsi="仿宋_GB2312" w:eastAsia="仿宋_GB2312" w:cs="仿宋_GB2312"/>
          <w:b w:val="0"/>
          <w:bCs w:val="0"/>
          <w:i w:val="0"/>
          <w:iCs w:val="0"/>
          <w:caps w:val="0"/>
          <w:color w:val="auto"/>
          <w:spacing w:val="0"/>
          <w:sz w:val="32"/>
          <w:szCs w:val="32"/>
          <w:shd w:val="clear" w:fill="FFFFFF"/>
          <w:lang w:eastAsia="zh-CN"/>
        </w:rPr>
        <w:t>，</w:t>
      </w:r>
      <w:r>
        <w:rPr>
          <w:rFonts w:hint="eastAsia" w:ascii="仿宋_GB2312" w:hAnsi="仿宋_GB2312" w:eastAsia="仿宋_GB2312" w:cs="仿宋_GB2312"/>
          <w:b w:val="0"/>
          <w:bCs w:val="0"/>
          <w:i w:val="0"/>
          <w:iCs w:val="0"/>
          <w:caps w:val="0"/>
          <w:color w:val="auto"/>
          <w:spacing w:val="0"/>
          <w:sz w:val="32"/>
          <w:szCs w:val="32"/>
          <w:shd w:val="clear" w:fill="FFFFFF"/>
        </w:rPr>
        <w:t>形成浓厚的法治氛围</w:t>
      </w:r>
      <w:r>
        <w:rPr>
          <w:rFonts w:hint="eastAsia" w:ascii="仿宋_GB2312" w:hAnsi="仿宋_GB2312" w:eastAsia="仿宋_GB2312" w:cs="仿宋_GB2312"/>
          <w:b w:val="0"/>
          <w:bCs w:val="0"/>
          <w:i w:val="0"/>
          <w:iCs w:val="0"/>
          <w:caps w:val="0"/>
          <w:color w:val="auto"/>
          <w:spacing w:val="0"/>
          <w:sz w:val="32"/>
          <w:szCs w:val="32"/>
          <w:shd w:val="clear" w:fill="FFFFFF"/>
          <w:lang w:eastAsia="zh-CN"/>
        </w:rPr>
        <w:t>，</w:t>
      </w:r>
      <w:r>
        <w:rPr>
          <w:rFonts w:hint="eastAsia" w:ascii="仿宋_GB2312" w:hAnsi="仿宋_GB2312" w:eastAsia="仿宋_GB2312" w:cs="仿宋_GB2312"/>
          <w:b w:val="0"/>
          <w:bCs w:val="0"/>
          <w:i w:val="0"/>
          <w:iCs w:val="0"/>
          <w:caps w:val="0"/>
          <w:color w:val="auto"/>
          <w:spacing w:val="0"/>
          <w:sz w:val="32"/>
          <w:szCs w:val="32"/>
          <w:shd w:val="clear" w:fill="FFFFFF"/>
        </w:rPr>
        <w:t>巩固提高全局城管执法人员的法治素养</w:t>
      </w:r>
      <w:r>
        <w:rPr>
          <w:rFonts w:hint="eastAsia" w:ascii="仿宋_GB2312" w:hAnsi="仿宋_GB2312" w:eastAsia="仿宋_GB2312" w:cs="仿宋_GB2312"/>
          <w:b w:val="0"/>
          <w:bCs w:val="0"/>
          <w:i w:val="0"/>
          <w:iCs w:val="0"/>
          <w:caps w:val="0"/>
          <w:color w:val="auto"/>
          <w:spacing w:val="0"/>
          <w:sz w:val="32"/>
          <w:szCs w:val="32"/>
          <w:shd w:val="clear" w:fill="FFFFFF"/>
          <w:lang w:eastAsia="zh-CN"/>
        </w:rPr>
        <w:t>，</w:t>
      </w: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激发</w:t>
      </w:r>
      <w:r>
        <w:rPr>
          <w:rFonts w:hint="eastAsia" w:ascii="仿宋_GB2312" w:hAnsi="仿宋_GB2312" w:eastAsia="仿宋_GB2312" w:cs="仿宋_GB2312"/>
          <w:b w:val="0"/>
          <w:bCs w:val="0"/>
          <w:color w:val="auto"/>
          <w:sz w:val="32"/>
          <w:szCs w:val="32"/>
          <w:lang w:val="en-US" w:eastAsia="zh-CN"/>
        </w:rPr>
        <w:t>执法人员对</w:t>
      </w:r>
      <w:r>
        <w:rPr>
          <w:rFonts w:hint="eastAsia" w:ascii="仿宋_GB2312" w:hAnsi="仿宋_GB2312" w:eastAsia="仿宋_GB2312" w:cs="仿宋_GB2312"/>
          <w:b w:val="0"/>
          <w:bCs w:val="0"/>
          <w:color w:val="auto"/>
          <w:sz w:val="32"/>
          <w:szCs w:val="32"/>
        </w:rPr>
        <w:t>法律法规和业务知识的学习</w:t>
      </w:r>
      <w:r>
        <w:rPr>
          <w:rFonts w:hint="eastAsia" w:ascii="仿宋_GB2312" w:hAnsi="仿宋_GB2312" w:eastAsia="仿宋_GB2312" w:cs="仿宋_GB2312"/>
          <w:b w:val="0"/>
          <w:bCs w:val="0"/>
          <w:color w:val="auto"/>
          <w:sz w:val="32"/>
          <w:szCs w:val="32"/>
          <w:lang w:val="en-US" w:eastAsia="zh-CN"/>
        </w:rPr>
        <w:t>热情</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color w:val="auto"/>
          <w:sz w:val="32"/>
          <w:szCs w:val="32"/>
          <w:lang w:val="en-US" w:eastAsia="zh-CN"/>
        </w:rPr>
        <w:t>进一步</w:t>
      </w:r>
      <w:r>
        <w:rPr>
          <w:rFonts w:hint="eastAsia" w:ascii="仿宋_GB2312" w:hAnsi="仿宋_GB2312" w:eastAsia="仿宋_GB2312" w:cs="仿宋_GB2312"/>
          <w:b w:val="0"/>
          <w:bCs w:val="0"/>
          <w:color w:val="auto"/>
          <w:sz w:val="32"/>
          <w:szCs w:val="32"/>
        </w:rPr>
        <w:t>提高依法行政、文明执法的能力和水平</w:t>
      </w:r>
      <w:r>
        <w:rPr>
          <w:rFonts w:hint="eastAsia" w:ascii="仿宋_GB2312" w:hAnsi="仿宋_GB2312" w:eastAsia="仿宋_GB2312" w:cs="仿宋_GB2312"/>
          <w:b w:val="0"/>
          <w:bCs w:val="0"/>
          <w:color w:val="auto"/>
          <w:sz w:val="32"/>
          <w:szCs w:val="32"/>
          <w:lang w:eastAsia="zh-CN"/>
        </w:rPr>
        <w:t>。</w:t>
      </w:r>
    </w:p>
    <w:p w14:paraId="5742E313">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 w:hAnsi="仿宋" w:eastAsia="仿宋" w:cs="仿宋"/>
          <w:b/>
          <w:bCs/>
          <w:color w:val="auto"/>
          <w:kern w:val="2"/>
          <w:sz w:val="32"/>
          <w:szCs w:val="32"/>
          <w:lang w:val="en-US" w:eastAsia="zh-CN" w:bidi="ar-SA"/>
        </w:rPr>
        <w:t>（</w:t>
      </w:r>
      <w:r>
        <w:rPr>
          <w:rFonts w:hint="eastAsia" w:ascii="楷体" w:hAnsi="楷体" w:eastAsia="楷体" w:cs="楷体"/>
          <w:b/>
          <w:bCs/>
          <w:color w:val="auto"/>
          <w:kern w:val="2"/>
          <w:sz w:val="32"/>
          <w:szCs w:val="32"/>
          <w:lang w:val="en-US" w:eastAsia="zh-CN" w:bidi="ar-SA"/>
        </w:rPr>
        <w:t>二）严格法治创建，坚持文明执法。</w:t>
      </w:r>
      <w:r>
        <w:rPr>
          <w:rFonts w:hint="eastAsia" w:ascii="仿宋_GB2312" w:hAnsi="仿宋_GB2312" w:eastAsia="仿宋_GB2312" w:cs="仿宋_GB2312"/>
          <w:b w:val="0"/>
          <w:bCs w:val="0"/>
          <w:color w:val="auto"/>
          <w:sz w:val="32"/>
          <w:szCs w:val="32"/>
          <w:lang w:val="en-US" w:eastAsia="zh-CN"/>
        </w:rPr>
        <w:t>从加强执法队伍思想建设、作风建设、能力建设、形象建设抓起，全面落实行政执法责任制和法治创建评议考核制，创新办案手段，规范办案程序，增强执法人员“会管理、会服务、会执法、会协调”工作能力，锤炼严谨、唯实的办案作风，不断提升城管队伍法治创建、文明执法的能力和水平。2025年将继续坚持“文明柔性执法”，找准尺度与温度的平衡点，采取“首违不罚”“批评教育为主、惩罚为辅”的方式，实现文明执法与文明管理的双赢，进一步激发城市经济内在发展活力。</w:t>
      </w:r>
    </w:p>
    <w:bookmarkEnd w:id="2"/>
    <w:bookmarkEnd w:id="3"/>
    <w:p w14:paraId="634C77EB">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楷体" w:hAnsi="楷体" w:eastAsia="楷体" w:cs="楷体"/>
          <w:b/>
          <w:bCs/>
          <w:color w:val="auto"/>
          <w:kern w:val="2"/>
          <w:sz w:val="32"/>
          <w:szCs w:val="32"/>
          <w:lang w:val="en-US" w:eastAsia="zh-CN" w:bidi="ar-SA"/>
        </w:rPr>
        <w:t>（三）</w:t>
      </w:r>
      <w:bookmarkStart w:id="4" w:name="OLE_LINK29"/>
      <w:r>
        <w:rPr>
          <w:rFonts w:hint="eastAsia" w:ascii="楷体" w:hAnsi="楷体" w:eastAsia="楷体" w:cs="楷体"/>
          <w:b/>
          <w:bCs/>
          <w:color w:val="auto"/>
          <w:kern w:val="2"/>
          <w:sz w:val="32"/>
          <w:szCs w:val="32"/>
          <w:lang w:val="en-US" w:eastAsia="zh-CN" w:bidi="ar-SA"/>
        </w:rPr>
        <w:t>推动机制创新。</w:t>
      </w:r>
      <w:bookmarkStart w:id="5" w:name="OLE_LINK63"/>
      <w:r>
        <w:rPr>
          <w:rFonts w:hint="eastAsia" w:ascii="仿宋_GB2312" w:hAnsi="仿宋_GB2312" w:eastAsia="仿宋_GB2312" w:cs="仿宋_GB2312"/>
          <w:b w:val="0"/>
          <w:bCs w:val="0"/>
          <w:color w:val="auto"/>
          <w:sz w:val="32"/>
          <w:szCs w:val="32"/>
          <w:lang w:val="en-US" w:eastAsia="zh-CN"/>
        </w:rPr>
        <w:t>探索治理方式的改革，提升城市管理水平，加快治理能力建设，着力完善城市管理机制。推动机制创新破解难题，全面提升城市环境品质。以机制创新为动力推动城市管理精细化、网格化、规范化管理，助力市容市貌、环卫保洁和数字城管发展，提升城市管理更上一层楼。</w:t>
      </w:r>
    </w:p>
    <w:bookmarkEnd w:id="4"/>
    <w:bookmarkEnd w:id="5"/>
    <w:p w14:paraId="4853A13C">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val="0"/>
          <w:bCs w:val="0"/>
          <w:color w:val="auto"/>
          <w:sz w:val="32"/>
          <w:szCs w:val="32"/>
          <w:lang w:val="en-US" w:eastAsia="zh-CN"/>
        </w:rPr>
      </w:pPr>
      <w:r>
        <w:rPr>
          <w:rFonts w:hint="eastAsia" w:ascii="楷体" w:hAnsi="楷体" w:eastAsia="楷体" w:cs="楷体"/>
          <w:b/>
          <w:bCs/>
          <w:color w:val="auto"/>
          <w:kern w:val="2"/>
          <w:sz w:val="32"/>
          <w:szCs w:val="32"/>
          <w:lang w:val="en-US" w:eastAsia="zh-CN" w:bidi="ar-SA"/>
        </w:rPr>
        <w:t>（四）</w:t>
      </w:r>
      <w:bookmarkStart w:id="6" w:name="OLE_LINK30"/>
      <w:r>
        <w:rPr>
          <w:rFonts w:hint="eastAsia" w:ascii="楷体" w:hAnsi="楷体" w:eastAsia="楷体" w:cs="楷体"/>
          <w:b/>
          <w:bCs/>
          <w:color w:val="auto"/>
          <w:kern w:val="2"/>
          <w:sz w:val="32"/>
          <w:szCs w:val="32"/>
          <w:lang w:val="en-US" w:eastAsia="zh-CN" w:bidi="ar-SA"/>
        </w:rPr>
        <w:t>进一步推进城市管理法治化。</w:t>
      </w:r>
      <w:bookmarkStart w:id="7" w:name="OLE_LINK62"/>
      <w:r>
        <w:rPr>
          <w:rFonts w:hint="eastAsia" w:ascii="仿宋" w:hAnsi="仿宋" w:eastAsia="仿宋" w:cs="仿宋"/>
          <w:b w:val="0"/>
          <w:bCs w:val="0"/>
          <w:color w:val="auto"/>
          <w:sz w:val="32"/>
          <w:szCs w:val="32"/>
          <w:lang w:val="en-US" w:eastAsia="zh-CN"/>
        </w:rPr>
        <w:t>全面推进城管法治化、规范化建设，持续提高城管执法人员法治能力和办案水平。落实完善“721”工作法，用更加扎实的工作推进标准化管理服务和行政执法能力。</w:t>
      </w:r>
      <w:bookmarkEnd w:id="6"/>
      <w:bookmarkEnd w:id="7"/>
    </w:p>
    <w:p w14:paraId="0743EF06">
      <w:pPr>
        <w:pStyle w:val="7"/>
        <w:rPr>
          <w:rFonts w:hint="eastAsia" w:ascii="仿宋" w:hAnsi="仿宋" w:eastAsia="仿宋" w:cs="仿宋"/>
          <w:b w:val="0"/>
          <w:bCs w:val="0"/>
          <w:color w:val="auto"/>
          <w:sz w:val="32"/>
          <w:szCs w:val="32"/>
          <w:lang w:val="en-US" w:eastAsia="zh-CN"/>
        </w:rPr>
      </w:pPr>
    </w:p>
    <w:p w14:paraId="32C07036">
      <w:pPr>
        <w:pStyle w:val="7"/>
        <w:rPr>
          <w:rFonts w:hint="eastAsia" w:ascii="仿宋" w:hAnsi="仿宋" w:eastAsia="仿宋" w:cs="仿宋"/>
          <w:b w:val="0"/>
          <w:bCs w:val="0"/>
          <w:color w:val="auto"/>
          <w:sz w:val="32"/>
          <w:szCs w:val="32"/>
          <w:lang w:val="en-US" w:eastAsia="zh-CN"/>
        </w:rPr>
      </w:pPr>
    </w:p>
    <w:p w14:paraId="374C0DA7">
      <w:pPr>
        <w:pStyle w:val="7"/>
        <w:rPr>
          <w:rFonts w:hint="eastAsia" w:ascii="仿宋" w:hAnsi="仿宋" w:eastAsia="仿宋" w:cs="仿宋"/>
          <w:b w:val="0"/>
          <w:bCs w:val="0"/>
          <w:color w:val="auto"/>
          <w:sz w:val="32"/>
          <w:szCs w:val="32"/>
          <w:lang w:val="en-US" w:eastAsia="zh-CN"/>
        </w:rPr>
      </w:pPr>
    </w:p>
    <w:p w14:paraId="7F1BAE4C">
      <w:pPr>
        <w:pStyle w:val="7"/>
        <w:rPr>
          <w:rFonts w:hint="eastAsia" w:ascii="仿宋" w:hAnsi="仿宋" w:eastAsia="仿宋" w:cs="仿宋"/>
          <w:b w:val="0"/>
          <w:bCs w:val="0"/>
          <w:color w:val="auto"/>
          <w:sz w:val="32"/>
          <w:szCs w:val="32"/>
          <w:lang w:val="en-US" w:eastAsia="zh-CN"/>
        </w:rPr>
      </w:pPr>
    </w:p>
    <w:p w14:paraId="66E300BA">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both"/>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B25C483-E9FB-4B30-8360-D4C49BA2DAC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1B2E5851-E088-469A-BACB-B5B9A9A8FC1B}"/>
  </w:font>
  <w:font w:name="微软雅黑">
    <w:panose1 w:val="020B0503020204020204"/>
    <w:charset w:val="86"/>
    <w:family w:val="auto"/>
    <w:pitch w:val="default"/>
    <w:sig w:usb0="80000287" w:usb1="2ACF3C50" w:usb2="00000016" w:usb3="00000000" w:csb0="0004001F" w:csb1="00000000"/>
    <w:embedRegular r:id="rId3" w:fontKey="{2B4A3915-6BD4-4561-A8F4-65942A05B5A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4" w:fontKey="{9A28328B-4E0C-48E7-A698-579410748E53}"/>
  </w:font>
  <w:font w:name="楷体">
    <w:panose1 w:val="02010609060101010101"/>
    <w:charset w:val="86"/>
    <w:family w:val="auto"/>
    <w:pitch w:val="default"/>
    <w:sig w:usb0="800002BF" w:usb1="38CF7CFA" w:usb2="00000016" w:usb3="00000000" w:csb0="00040001" w:csb1="00000000"/>
    <w:embedRegular r:id="rId5" w:fontKey="{32159DE6-CD5A-44BE-8A94-438AA1431EB3}"/>
  </w:font>
  <w:font w:name="WPSEMBED31">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6E6241"/>
    <w:multiLevelType w:val="singleLevel"/>
    <w:tmpl w:val="936E6241"/>
    <w:lvl w:ilvl="0" w:tentative="0">
      <w:start w:val="1"/>
      <w:numFmt w:val="decimal"/>
      <w:suff w:val="nothing"/>
      <w:lvlText w:val="%1．"/>
      <w:lvlJc w:val="left"/>
      <w:pPr>
        <w:ind w:left="0" w:firstLine="400"/>
      </w:pPr>
      <w:rPr>
        <w:rFonts w:hint="default" w:ascii="仿宋" w:hAnsi="仿宋" w:eastAsia="仿宋" w:cs="仿宋"/>
        <w:color w:val="auto"/>
        <w:sz w:val="32"/>
        <w:szCs w:val="32"/>
      </w:rPr>
    </w:lvl>
  </w:abstractNum>
  <w:abstractNum w:abstractNumId="1">
    <w:nsid w:val="ECDD637A"/>
    <w:multiLevelType w:val="singleLevel"/>
    <w:tmpl w:val="ECDD637A"/>
    <w:lvl w:ilvl="0" w:tentative="0">
      <w:start w:val="1"/>
      <w:numFmt w:val="decimal"/>
      <w:suff w:val="nothing"/>
      <w:lvlText w:val="%1．"/>
      <w:lvlJc w:val="left"/>
      <w:pPr>
        <w:ind w:left="0" w:firstLine="400"/>
      </w:pPr>
      <w:rPr>
        <w:rFonts w:hint="default" w:ascii="仿宋_GB2312" w:hAnsi="仿宋_GB2312" w:eastAsia="仿宋_GB2312" w:cs="仿宋_GB2312"/>
        <w:color w:val="auto"/>
        <w:sz w:val="32"/>
        <w:szCs w:val="32"/>
      </w:rPr>
    </w:lvl>
  </w:abstractNum>
  <w:abstractNum w:abstractNumId="2">
    <w:nsid w:val="0A6EB3AA"/>
    <w:multiLevelType w:val="singleLevel"/>
    <w:tmpl w:val="0A6EB3AA"/>
    <w:lvl w:ilvl="0" w:tentative="0">
      <w:start w:val="1"/>
      <w:numFmt w:val="decimal"/>
      <w:suff w:val="nothing"/>
      <w:lvlText w:val="%1．"/>
      <w:lvlJc w:val="left"/>
      <w:pPr>
        <w:ind w:left="0" w:firstLine="400"/>
      </w:pPr>
      <w:rPr>
        <w:rFonts w:hint="default" w:ascii="仿宋" w:hAnsi="仿宋" w:eastAsia="仿宋" w:cs="仿宋"/>
        <w:b/>
        <w:bCs/>
        <w:sz w:val="32"/>
        <w:szCs w:val="32"/>
      </w:rPr>
    </w:lvl>
  </w:abstractNum>
  <w:abstractNum w:abstractNumId="3">
    <w:nsid w:val="2B2D7321"/>
    <w:multiLevelType w:val="singleLevel"/>
    <w:tmpl w:val="2B2D7321"/>
    <w:lvl w:ilvl="0" w:tentative="0">
      <w:start w:val="1"/>
      <w:numFmt w:val="decimal"/>
      <w:suff w:val="nothing"/>
      <w:lvlText w:val="%1．"/>
      <w:lvlJc w:val="left"/>
      <w:pPr>
        <w:ind w:left="0" w:firstLine="400"/>
      </w:pPr>
      <w:rPr>
        <w:rFonts w:hint="default"/>
        <w:color w:val="auto"/>
      </w:rPr>
    </w:lvl>
  </w:abstractNum>
  <w:abstractNum w:abstractNumId="4">
    <w:nsid w:val="31C17906"/>
    <w:multiLevelType w:val="singleLevel"/>
    <w:tmpl w:val="31C17906"/>
    <w:lvl w:ilvl="0" w:tentative="0">
      <w:start w:val="1"/>
      <w:numFmt w:val="chineseCounting"/>
      <w:suff w:val="nothing"/>
      <w:lvlText w:val="（%1）"/>
      <w:lvlJc w:val="left"/>
      <w:rPr>
        <w:rFonts w:hint="eastAsia"/>
      </w:rPr>
    </w:lvl>
  </w:abstractNum>
  <w:abstractNum w:abstractNumId="5">
    <w:nsid w:val="36FB44E6"/>
    <w:multiLevelType w:val="singleLevel"/>
    <w:tmpl w:val="36FB44E6"/>
    <w:lvl w:ilvl="0" w:tentative="0">
      <w:start w:val="1"/>
      <w:numFmt w:val="chineseCounting"/>
      <w:suff w:val="nothing"/>
      <w:lvlText w:val="%1、"/>
      <w:lvlJc w:val="left"/>
      <w:rPr>
        <w:rFonts w:hint="eastAsia"/>
      </w:rPr>
    </w:lvl>
  </w:abstractNum>
  <w:abstractNum w:abstractNumId="6">
    <w:nsid w:val="515A6377"/>
    <w:multiLevelType w:val="singleLevel"/>
    <w:tmpl w:val="515A6377"/>
    <w:lvl w:ilvl="0" w:tentative="0">
      <w:start w:val="1"/>
      <w:numFmt w:val="chineseCounting"/>
      <w:pStyle w:val="4"/>
      <w:suff w:val="nothing"/>
      <w:lvlText w:val="%1、"/>
      <w:lvlJc w:val="left"/>
      <w:pPr>
        <w:ind w:firstLine="420"/>
      </w:pPr>
      <w:rPr>
        <w:rFonts w:hint="eastAsia" w:eastAsia="仿宋_GB2312" w:cs="Times New Roman"/>
        <w:sz w:val="32"/>
      </w:rPr>
    </w:lvl>
  </w:abstractNum>
  <w:abstractNum w:abstractNumId="7">
    <w:nsid w:val="67B4C303"/>
    <w:multiLevelType w:val="singleLevel"/>
    <w:tmpl w:val="67B4C303"/>
    <w:lvl w:ilvl="0" w:tentative="0">
      <w:start w:val="1"/>
      <w:numFmt w:val="decimal"/>
      <w:suff w:val="nothing"/>
      <w:lvlText w:val="%1．"/>
      <w:lvlJc w:val="left"/>
      <w:pPr>
        <w:ind w:left="0" w:firstLine="400"/>
      </w:pPr>
      <w:rPr>
        <w:rFonts w:hint="default" w:ascii="仿宋" w:hAnsi="仿宋" w:eastAsia="仿宋" w:cs="仿宋"/>
        <w:sz w:val="32"/>
        <w:szCs w:val="32"/>
      </w:rPr>
    </w:lvl>
  </w:abstractNum>
  <w:abstractNum w:abstractNumId="8">
    <w:nsid w:val="6FA5A2C2"/>
    <w:multiLevelType w:val="singleLevel"/>
    <w:tmpl w:val="6FA5A2C2"/>
    <w:lvl w:ilvl="0" w:tentative="0">
      <w:start w:val="1"/>
      <w:numFmt w:val="decimal"/>
      <w:suff w:val="nothing"/>
      <w:lvlText w:val="%1．"/>
      <w:lvlJc w:val="left"/>
      <w:pPr>
        <w:ind w:left="0" w:firstLine="400"/>
      </w:pPr>
      <w:rPr>
        <w:rFonts w:hint="default" w:ascii="仿宋" w:hAnsi="仿宋" w:eastAsia="仿宋" w:cs="仿宋"/>
        <w:b/>
        <w:bCs/>
        <w:sz w:val="32"/>
        <w:szCs w:val="32"/>
      </w:rPr>
    </w:lvl>
  </w:abstractNum>
  <w:abstractNum w:abstractNumId="9">
    <w:nsid w:val="74C170B8"/>
    <w:multiLevelType w:val="singleLevel"/>
    <w:tmpl w:val="74C170B8"/>
    <w:lvl w:ilvl="0" w:tentative="0">
      <w:start w:val="1"/>
      <w:numFmt w:val="chineseCounting"/>
      <w:suff w:val="nothing"/>
      <w:lvlText w:val="（%1）"/>
      <w:lvlJc w:val="left"/>
      <w:rPr>
        <w:rFonts w:hint="eastAsia"/>
      </w:rPr>
    </w:lvl>
  </w:abstractNum>
  <w:num w:numId="1">
    <w:abstractNumId w:val="6"/>
  </w:num>
  <w:num w:numId="2">
    <w:abstractNumId w:val="5"/>
  </w:num>
  <w:num w:numId="3">
    <w:abstractNumId w:val="3"/>
  </w:num>
  <w:num w:numId="4">
    <w:abstractNumId w:val="7"/>
  </w:num>
  <w:num w:numId="5">
    <w:abstractNumId w:val="1"/>
  </w:num>
  <w:num w:numId="6">
    <w:abstractNumId w:val="9"/>
  </w:num>
  <w:num w:numId="7">
    <w:abstractNumId w:val="0"/>
  </w:num>
  <w:num w:numId="8">
    <w:abstractNumId w:val="4"/>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Q0MGU3ZDRiNjQwODk1ODRkNzUyN2I2YzQ2YmYyOWYifQ=="/>
  </w:docVars>
  <w:rsids>
    <w:rsidRoot w:val="323C07F9"/>
    <w:rsid w:val="00C44682"/>
    <w:rsid w:val="011E1AE4"/>
    <w:rsid w:val="020F70B1"/>
    <w:rsid w:val="02581525"/>
    <w:rsid w:val="12E070F9"/>
    <w:rsid w:val="17837225"/>
    <w:rsid w:val="199D21E8"/>
    <w:rsid w:val="1D5A219E"/>
    <w:rsid w:val="1E835E5F"/>
    <w:rsid w:val="1F4C6E93"/>
    <w:rsid w:val="21C32249"/>
    <w:rsid w:val="252A0CB8"/>
    <w:rsid w:val="2B125E66"/>
    <w:rsid w:val="2B51698E"/>
    <w:rsid w:val="2BF53A38"/>
    <w:rsid w:val="30963095"/>
    <w:rsid w:val="31944ED7"/>
    <w:rsid w:val="323C07F9"/>
    <w:rsid w:val="35407579"/>
    <w:rsid w:val="389A216F"/>
    <w:rsid w:val="3B4A245C"/>
    <w:rsid w:val="490B4AF9"/>
    <w:rsid w:val="4CD064CA"/>
    <w:rsid w:val="4DDF79D2"/>
    <w:rsid w:val="4EB55C3E"/>
    <w:rsid w:val="53572951"/>
    <w:rsid w:val="53A45945"/>
    <w:rsid w:val="549A28A4"/>
    <w:rsid w:val="575C2093"/>
    <w:rsid w:val="58FB5E98"/>
    <w:rsid w:val="596B1D1D"/>
    <w:rsid w:val="5ACE0213"/>
    <w:rsid w:val="5B9E03C2"/>
    <w:rsid w:val="626F16C6"/>
    <w:rsid w:val="6A0A597F"/>
    <w:rsid w:val="6A6F7AD8"/>
    <w:rsid w:val="6D4F69FE"/>
    <w:rsid w:val="6EB15FF1"/>
    <w:rsid w:val="746E5488"/>
    <w:rsid w:val="747346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rPr>
      <w:rFonts w:ascii="宋体" w:hAnsi="宋体" w:eastAsia="宋体" w:cs="宋体"/>
      <w:sz w:val="44"/>
      <w:szCs w:val="44"/>
      <w:lang w:val="zh-CN" w:bidi="zh-CN"/>
    </w:rPr>
  </w:style>
  <w:style w:type="paragraph" w:styleId="4">
    <w:name w:val="Body Text Indent"/>
    <w:basedOn w:val="1"/>
    <w:qFormat/>
    <w:uiPriority w:val="99"/>
    <w:pPr>
      <w:numPr>
        <w:ilvl w:val="0"/>
        <w:numId w:val="1"/>
      </w:numPr>
      <w:ind w:left="420" w:leftChars="200"/>
    </w:pPr>
  </w:style>
  <w:style w:type="paragraph" w:styleId="5">
    <w:name w:val="Body Text 2"/>
    <w:basedOn w:val="1"/>
    <w:qFormat/>
    <w:uiPriority w:val="0"/>
    <w:pPr>
      <w:spacing w:after="120" w:line="480" w:lineRule="auto"/>
    </w:pPr>
  </w:style>
  <w:style w:type="paragraph" w:styleId="6">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150" w:afterAutospacing="0"/>
      <w:ind w:left="0" w:right="0"/>
      <w:jc w:val="left"/>
    </w:pPr>
    <w:rPr>
      <w:rFonts w:ascii="微软雅黑" w:hAnsi="微软雅黑" w:eastAsia="微软雅黑" w:cs="微软雅黑"/>
      <w:kern w:val="0"/>
      <w:sz w:val="24"/>
      <w:lang w:val="en-US" w:eastAsia="zh-CN" w:bidi="ar"/>
    </w:rPr>
  </w:style>
  <w:style w:type="paragraph" w:styleId="7">
    <w:name w:val="Body Text First Indent 2"/>
    <w:basedOn w:val="4"/>
    <w:qFormat/>
    <w:uiPriority w:val="99"/>
    <w:pPr>
      <w:numPr>
        <w:ilvl w:val="0"/>
        <w:numId w:val="0"/>
      </w:numPr>
      <w:ind w:left="420" w:leftChars="200" w:firstLine="420" w:firstLineChars="200"/>
    </w:pPr>
  </w:style>
  <w:style w:type="paragraph" w:customStyle="1" w:styleId="10">
    <w:name w:val="_Style 2"/>
    <w:basedOn w:val="1"/>
    <w:next w:val="1"/>
    <w:autoRedefine/>
    <w:qFormat/>
    <w:uiPriority w:val="0"/>
    <w:pPr>
      <w:pBdr>
        <w:bottom w:val="single" w:color="auto" w:sz="6" w:space="1"/>
      </w:pBdr>
      <w:jc w:val="center"/>
    </w:pPr>
    <w:rPr>
      <w:rFonts w:ascii="Arial" w:eastAsia="宋体"/>
      <w:vanish/>
      <w:sz w:val="16"/>
    </w:rPr>
  </w:style>
  <w:style w:type="paragraph" w:customStyle="1" w:styleId="11">
    <w:name w:val="_Style 3"/>
    <w:basedOn w:val="1"/>
    <w:next w:val="1"/>
    <w:autoRedefine/>
    <w:qFormat/>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6886</Words>
  <Characters>6989</Characters>
  <Lines>0</Lines>
  <Paragraphs>0</Paragraphs>
  <TotalTime>100</TotalTime>
  <ScaleCrop>false</ScaleCrop>
  <LinksUpToDate>false</LinksUpToDate>
  <CharactersWithSpaces>6991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2024-11-26T08:13:00Z</dcterms:created>
  <dc:creator>茉莉莉</dc:creator>
  <cp:lastModifiedBy>路娇娇</cp:lastModifiedBy>
  <cp:lastPrinted>2025-12-11T01:03:00Z</cp:lastPrinted>
  <dcterms:modified xsi:type="dcterms:W3CDTF">2026-02-03T09:03:49Z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0233A594268841028E30D0D42FBFB983_13</vt:lpwstr>
  </property>
  <property fmtid="{D5CDD505-2E9C-101B-9397-08002B2CF9AE}" pid="4" name="KSOTemplateDocerSaveRecord">
    <vt:lpwstr>eyJoZGlkIjoiYzViZWFmODM1ZGVkNjBmYjQyNTNhNDg3NGE5OTRmNTYiLCJ1c2VySWQiOiIyNzE1Njg1MTcifQ==</vt:lpwstr>
  </property>
</Properties>
</file>