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65746">
      <w:pPr>
        <w:pStyle w:val="2"/>
        <w:spacing w:before="93" w:beforeLines="30" w:after="0" w:line="640" w:lineRule="exact"/>
        <w:jc w:val="both"/>
        <w:rPr>
          <w:rFonts w:hint="eastAsia" w:ascii="黑体" w:hAnsi="黑体" w:eastAsia="黑体" w:cs="黑体"/>
          <w:b w:val="0"/>
          <w:bCs w:val="0"/>
          <w:i w:val="0"/>
          <w:iCs w:val="0"/>
          <w:caps w:val="0"/>
          <w:color w:val="333333"/>
          <w:spacing w:val="0"/>
          <w:sz w:val="44"/>
          <w:szCs w:val="44"/>
          <w:shd w:val="clear" w:color="auto" w:fill="FFFFFF"/>
        </w:rPr>
      </w:pPr>
      <w:r>
        <w:rPr>
          <w:rFonts w:hint="eastAsia" w:ascii="仿宋_GB2312" w:eastAsia="仿宋_GB2312"/>
          <w:sz w:val="32"/>
          <w:szCs w:val="32"/>
        </w:rPr>
        <w:t xml:space="preserve">           </w:t>
      </w:r>
      <w:r>
        <w:rPr>
          <w:rFonts w:hint="eastAsia" w:ascii="黑体" w:hAnsi="黑体" w:eastAsia="黑体" w:cs="黑体"/>
          <w:b w:val="0"/>
          <w:bCs w:val="0"/>
          <w:sz w:val="44"/>
          <w:szCs w:val="44"/>
        </w:rPr>
        <w:t xml:space="preserve"> </w:t>
      </w:r>
      <w:r>
        <w:rPr>
          <w:rFonts w:hint="eastAsia" w:ascii="黑体" w:hAnsi="黑体" w:eastAsia="黑体" w:cs="黑体"/>
          <w:b w:val="0"/>
          <w:bCs w:val="0"/>
          <w:i w:val="0"/>
          <w:iCs w:val="0"/>
          <w:caps w:val="0"/>
          <w:color w:val="333333"/>
          <w:spacing w:val="0"/>
          <w:sz w:val="44"/>
          <w:szCs w:val="44"/>
          <w:shd w:val="clear" w:color="auto" w:fill="FFFFFF"/>
          <w:lang w:eastAsia="zh-CN"/>
        </w:rPr>
        <w:t>潢</w:t>
      </w:r>
      <w:bookmarkStart w:id="0" w:name="_GoBack"/>
      <w:bookmarkEnd w:id="0"/>
      <w:r>
        <w:rPr>
          <w:rFonts w:hint="eastAsia" w:ascii="黑体" w:hAnsi="黑体" w:eastAsia="黑体" w:cs="黑体"/>
          <w:b w:val="0"/>
          <w:bCs w:val="0"/>
          <w:i w:val="0"/>
          <w:iCs w:val="0"/>
          <w:caps w:val="0"/>
          <w:color w:val="333333"/>
          <w:spacing w:val="0"/>
          <w:sz w:val="44"/>
          <w:szCs w:val="44"/>
          <w:shd w:val="clear" w:color="auto" w:fill="FFFFFF"/>
          <w:lang w:eastAsia="zh-CN"/>
        </w:rPr>
        <w:t>川县</w:t>
      </w:r>
      <w:r>
        <w:rPr>
          <w:rFonts w:hint="eastAsia" w:ascii="黑体" w:hAnsi="黑体" w:eastAsia="黑体" w:cs="黑体"/>
          <w:b w:val="0"/>
          <w:bCs w:val="0"/>
          <w:i w:val="0"/>
          <w:iCs w:val="0"/>
          <w:caps w:val="0"/>
          <w:color w:val="333333"/>
          <w:spacing w:val="0"/>
          <w:sz w:val="44"/>
          <w:szCs w:val="44"/>
          <w:shd w:val="clear" w:color="auto" w:fill="FFFFFF"/>
        </w:rPr>
        <w:t>市场监督管理局</w:t>
      </w:r>
    </w:p>
    <w:p w14:paraId="230B7A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60" w:lineRule="exact"/>
        <w:ind w:left="0" w:right="0"/>
        <w:jc w:val="center"/>
        <w:textAlignment w:val="auto"/>
        <w:rPr>
          <w:rFonts w:hint="eastAsia" w:ascii="黑体" w:hAnsi="黑体" w:eastAsia="黑体" w:cs="黑体"/>
          <w:b w:val="0"/>
          <w:bCs w:val="0"/>
          <w:color w:val="333333"/>
          <w:sz w:val="44"/>
          <w:szCs w:val="44"/>
        </w:rPr>
      </w:pPr>
      <w:r>
        <w:rPr>
          <w:rFonts w:hint="eastAsia" w:ascii="黑体" w:hAnsi="黑体" w:eastAsia="黑体" w:cs="黑体"/>
          <w:b w:val="0"/>
          <w:bCs w:val="0"/>
          <w:i w:val="0"/>
          <w:iCs w:val="0"/>
          <w:caps w:val="0"/>
          <w:color w:val="333333"/>
          <w:spacing w:val="0"/>
          <w:sz w:val="44"/>
          <w:szCs w:val="44"/>
          <w:shd w:val="clear" w:color="auto" w:fill="FFFFFF"/>
          <w:lang w:val="en-US" w:eastAsia="zh-CN"/>
        </w:rPr>
        <w:t>关于</w:t>
      </w:r>
      <w:r>
        <w:rPr>
          <w:rFonts w:hint="eastAsia" w:ascii="黑体" w:hAnsi="黑体" w:eastAsia="黑体" w:cs="黑体"/>
          <w:b w:val="0"/>
          <w:bCs w:val="0"/>
          <w:i w:val="0"/>
          <w:iCs w:val="0"/>
          <w:caps w:val="0"/>
          <w:color w:val="333333"/>
          <w:spacing w:val="0"/>
          <w:sz w:val="44"/>
          <w:szCs w:val="44"/>
          <w:shd w:val="clear" w:color="auto" w:fill="FFFFFF"/>
        </w:rPr>
        <w:t>202</w:t>
      </w:r>
      <w:r>
        <w:rPr>
          <w:rFonts w:hint="eastAsia" w:ascii="黑体" w:hAnsi="黑体" w:eastAsia="黑体" w:cs="黑体"/>
          <w:b w:val="0"/>
          <w:bCs w:val="0"/>
          <w:i w:val="0"/>
          <w:iCs w:val="0"/>
          <w:caps w:val="0"/>
          <w:color w:val="333333"/>
          <w:spacing w:val="0"/>
          <w:sz w:val="44"/>
          <w:szCs w:val="44"/>
          <w:shd w:val="clear" w:color="auto" w:fill="FFFFFF"/>
          <w:lang w:val="en-US" w:eastAsia="zh-CN"/>
        </w:rPr>
        <w:t>5</w:t>
      </w:r>
      <w:r>
        <w:rPr>
          <w:rFonts w:hint="eastAsia" w:ascii="黑体" w:hAnsi="黑体" w:eastAsia="黑体" w:cs="黑体"/>
          <w:b w:val="0"/>
          <w:bCs w:val="0"/>
          <w:i w:val="0"/>
          <w:iCs w:val="0"/>
          <w:caps w:val="0"/>
          <w:color w:val="333333"/>
          <w:spacing w:val="0"/>
          <w:sz w:val="44"/>
          <w:szCs w:val="44"/>
          <w:shd w:val="clear" w:color="auto" w:fill="FFFFFF"/>
        </w:rPr>
        <w:t>年度法治政府建设</w:t>
      </w:r>
      <w:r>
        <w:rPr>
          <w:rFonts w:hint="eastAsia" w:ascii="黑体" w:hAnsi="黑体" w:eastAsia="黑体" w:cs="黑体"/>
          <w:b w:val="0"/>
          <w:bCs w:val="0"/>
          <w:i w:val="0"/>
          <w:iCs w:val="0"/>
          <w:caps w:val="0"/>
          <w:color w:val="333333"/>
          <w:spacing w:val="0"/>
          <w:sz w:val="44"/>
          <w:szCs w:val="44"/>
          <w:shd w:val="clear" w:color="auto" w:fill="FFFFFF"/>
          <w:lang w:val="en-US" w:eastAsia="zh-CN"/>
        </w:rPr>
        <w:t>情况的</w:t>
      </w:r>
      <w:r>
        <w:rPr>
          <w:rFonts w:hint="eastAsia" w:ascii="黑体" w:hAnsi="黑体" w:eastAsia="黑体" w:cs="黑体"/>
          <w:b w:val="0"/>
          <w:bCs w:val="0"/>
          <w:i w:val="0"/>
          <w:iCs w:val="0"/>
          <w:caps w:val="0"/>
          <w:color w:val="333333"/>
          <w:spacing w:val="0"/>
          <w:sz w:val="44"/>
          <w:szCs w:val="44"/>
          <w:shd w:val="clear" w:color="auto" w:fill="FFFFFF"/>
        </w:rPr>
        <w:t>报告</w:t>
      </w:r>
    </w:p>
    <w:p w14:paraId="09A02F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i w:val="0"/>
          <w:iCs w:val="0"/>
          <w:caps w:val="0"/>
          <w:color w:val="000000"/>
          <w:spacing w:val="0"/>
          <w:sz w:val="32"/>
          <w:szCs w:val="32"/>
          <w:shd w:val="clear" w:color="auto" w:fill="FFFFFF"/>
        </w:rPr>
      </w:pPr>
      <w:r>
        <w:rPr>
          <w:rFonts w:hint="eastAsia" w:ascii="仿宋_GB2312" w:hAnsi="仿宋_GB2312" w:eastAsia="仿宋_GB2312" w:cs="仿宋_GB2312"/>
          <w:b w:val="0"/>
          <w:bCs w:val="0"/>
          <w:i w:val="0"/>
          <w:iCs w:val="0"/>
          <w:caps w:val="0"/>
          <w:color w:val="000000"/>
          <w:spacing w:val="0"/>
          <w:sz w:val="32"/>
          <w:szCs w:val="32"/>
          <w:shd w:val="clear" w:color="auto" w:fill="FFFFFF"/>
        </w:rPr>
        <w:t>202</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5</w:t>
      </w:r>
      <w:r>
        <w:rPr>
          <w:rFonts w:hint="eastAsia" w:ascii="仿宋_GB2312" w:hAnsi="仿宋_GB2312" w:eastAsia="仿宋_GB2312" w:cs="仿宋_GB2312"/>
          <w:b w:val="0"/>
          <w:bCs w:val="0"/>
          <w:i w:val="0"/>
          <w:iCs w:val="0"/>
          <w:caps w:val="0"/>
          <w:color w:val="000000"/>
          <w:spacing w:val="0"/>
          <w:sz w:val="32"/>
          <w:szCs w:val="32"/>
          <w:shd w:val="clear" w:color="auto" w:fill="FFFFFF"/>
        </w:rPr>
        <w:t>年，在县委全面依法治县委员会的</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全面</w:t>
      </w:r>
      <w:r>
        <w:rPr>
          <w:rFonts w:hint="eastAsia" w:ascii="仿宋_GB2312" w:hAnsi="仿宋_GB2312" w:eastAsia="仿宋_GB2312" w:cs="仿宋_GB2312"/>
          <w:b w:val="0"/>
          <w:bCs w:val="0"/>
          <w:i w:val="0"/>
          <w:iCs w:val="0"/>
          <w:caps w:val="0"/>
          <w:color w:val="000000"/>
          <w:spacing w:val="0"/>
          <w:sz w:val="32"/>
          <w:szCs w:val="32"/>
          <w:shd w:val="clear" w:color="auto" w:fill="FFFFFF"/>
        </w:rPr>
        <w:t>指导下，</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潢川</w:t>
      </w:r>
      <w:r>
        <w:rPr>
          <w:rFonts w:hint="eastAsia" w:ascii="仿宋_GB2312" w:hAnsi="仿宋_GB2312" w:eastAsia="仿宋_GB2312" w:cs="仿宋_GB2312"/>
          <w:b w:val="0"/>
          <w:bCs w:val="0"/>
          <w:i w:val="0"/>
          <w:iCs w:val="0"/>
          <w:caps w:val="0"/>
          <w:color w:val="000000"/>
          <w:spacing w:val="0"/>
          <w:sz w:val="32"/>
          <w:szCs w:val="32"/>
          <w:shd w:val="clear" w:color="auto" w:fill="FFFFFF"/>
        </w:rPr>
        <w:t>县市场监管局始终以习近平新时代中国特色社会主义思想为指导，深入学习宣传贯彻党的二十</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届三中全会</w:t>
      </w:r>
      <w:r>
        <w:rPr>
          <w:rFonts w:hint="eastAsia" w:ascii="仿宋_GB2312" w:hAnsi="仿宋_GB2312" w:eastAsia="仿宋_GB2312" w:cs="仿宋_GB2312"/>
          <w:b w:val="0"/>
          <w:bCs w:val="0"/>
          <w:i w:val="0"/>
          <w:iCs w:val="0"/>
          <w:caps w:val="0"/>
          <w:color w:val="000000"/>
          <w:spacing w:val="0"/>
          <w:sz w:val="32"/>
          <w:szCs w:val="32"/>
          <w:shd w:val="clear" w:color="auto" w:fill="FFFFFF"/>
        </w:rPr>
        <w:t>精神，全面落实法治政府建设工作</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000000"/>
          <w:spacing w:val="0"/>
          <w:sz w:val="32"/>
          <w:szCs w:val="32"/>
          <w:shd w:val="clear" w:color="auto" w:fill="FFFFFF"/>
        </w:rPr>
        <w:t>依法行政持续规范，执法办案有温度，法治宣传氛围浓厚，执法能力建设和执法规范化水平不断提升，法治政府建设全面深化。现将</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潢川县</w:t>
      </w:r>
      <w:r>
        <w:rPr>
          <w:rFonts w:hint="eastAsia" w:ascii="仿宋_GB2312" w:hAnsi="仿宋_GB2312" w:eastAsia="仿宋_GB2312" w:cs="仿宋_GB2312"/>
          <w:b w:val="0"/>
          <w:bCs w:val="0"/>
          <w:i w:val="0"/>
          <w:iCs w:val="0"/>
          <w:caps w:val="0"/>
          <w:color w:val="000000"/>
          <w:spacing w:val="0"/>
          <w:sz w:val="32"/>
          <w:szCs w:val="32"/>
          <w:shd w:val="clear" w:color="auto" w:fill="FFFFFF"/>
        </w:rPr>
        <w:t>市场监管局202</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5</w:t>
      </w:r>
      <w:r>
        <w:rPr>
          <w:rFonts w:hint="eastAsia" w:ascii="仿宋_GB2312" w:hAnsi="仿宋_GB2312" w:eastAsia="仿宋_GB2312" w:cs="仿宋_GB2312"/>
          <w:b w:val="0"/>
          <w:bCs w:val="0"/>
          <w:i w:val="0"/>
          <w:iCs w:val="0"/>
          <w:caps w:val="0"/>
          <w:color w:val="000000"/>
          <w:spacing w:val="0"/>
          <w:sz w:val="32"/>
          <w:szCs w:val="32"/>
          <w:shd w:val="clear" w:color="auto" w:fill="FFFFFF"/>
        </w:rPr>
        <w:t>年度法治政府建设情况报告如下。</w:t>
      </w:r>
    </w:p>
    <w:p w14:paraId="1497129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bCs/>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、202</w:t>
      </w:r>
      <w:r>
        <w:rPr>
          <w:rFonts w:hint="eastAsia" w:ascii="黑体" w:hAnsi="黑体" w:eastAsia="黑体" w:cs="黑体"/>
          <w:b w:val="0"/>
          <w:bCs w:val="0"/>
          <w:sz w:val="32"/>
          <w:szCs w:val="32"/>
          <w:lang w:val="en-US" w:eastAsia="zh-CN"/>
        </w:rPr>
        <w:t>5</w:t>
      </w:r>
      <w:r>
        <w:rPr>
          <w:rFonts w:hint="eastAsia" w:ascii="黑体" w:hAnsi="黑体" w:eastAsia="黑体" w:cs="黑体"/>
          <w:b w:val="0"/>
          <w:bCs w:val="0"/>
          <w:sz w:val="32"/>
          <w:szCs w:val="32"/>
        </w:rPr>
        <w:t>年度党政主要负责人履行推进法治建设第一责任人职责、加强法治政府建设的有关情况</w:t>
      </w:r>
    </w:p>
    <w:p w14:paraId="6F771347">
      <w:pPr>
        <w:keepNext w:val="0"/>
        <w:keepLines w:val="0"/>
        <w:pageBreakBefore w:val="0"/>
        <w:widowControl w:val="0"/>
        <w:numPr>
          <w:ilvl w:val="0"/>
          <w:numId w:val="0"/>
        </w:numPr>
        <w:kinsoku/>
        <w:wordWrap/>
        <w:overflowPunct/>
        <w:topLinePunct/>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i w:val="0"/>
          <w:iCs w:val="0"/>
          <w:caps w:val="0"/>
          <w:color w:val="000000"/>
          <w:spacing w:val="0"/>
          <w:sz w:val="32"/>
          <w:szCs w:val="32"/>
          <w:shd w:val="clear" w:color="auto" w:fill="FFFFFF"/>
        </w:rPr>
        <w:t>在推进法治政府建设的进程中，</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我局</w:t>
      </w:r>
      <w:r>
        <w:rPr>
          <w:rFonts w:hint="eastAsia" w:ascii="仿宋_GB2312" w:hAnsi="仿宋_GB2312" w:eastAsia="仿宋_GB2312" w:cs="仿宋_GB2312"/>
          <w:b w:val="0"/>
          <w:bCs w:val="0"/>
          <w:i w:val="0"/>
          <w:iCs w:val="0"/>
          <w:caps w:val="0"/>
          <w:color w:val="000000"/>
          <w:spacing w:val="0"/>
          <w:sz w:val="32"/>
          <w:szCs w:val="32"/>
          <w:shd w:val="clear" w:color="auto" w:fill="FFFFFF"/>
        </w:rPr>
        <w:t>党政主要负责人肩负着重大责任，积极发挥关键引领作用</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w:t>
      </w:r>
      <w:r>
        <w:rPr>
          <w:rFonts w:hint="eastAsia" w:ascii="仿宋_GB2312" w:hAnsi="仿宋_GB2312" w:eastAsia="仿宋_GB2312" w:cs="仿宋_GB2312"/>
          <w:sz w:val="32"/>
          <w:szCs w:val="32"/>
        </w:rPr>
        <w:t>我局主要负责人始终坚定法治信仰，</w:t>
      </w:r>
      <w:r>
        <w:rPr>
          <w:rFonts w:hint="eastAsia" w:ascii="仿宋_GB2312" w:eastAsia="仿宋_GB2312" w:hAnsiTheme="minorHAnsi" w:cstheme="minorBidi"/>
          <w:snapToGrid/>
          <w:color w:val="000000"/>
          <w:kern w:val="2"/>
          <w:sz w:val="32"/>
          <w:szCs w:val="24"/>
          <w:lang w:val="en-US" w:eastAsia="zh-CN" w:bidi="ar-SA"/>
          <w14:ligatures w14:val="none"/>
        </w:rPr>
        <w:t>始终以习近平新时代中国特色社会主义思想为指导，深入贯彻党的二十大及二十届四中全会精神，紧紧围绕县委、县政府年度工作部署，锚定“优环境、保安全、促发展、强质量、提效能”核心目标，以党建为引领、以创新为驱动、以民生为根本，统筹推进市场监管领域各项工作落地见效，为潢川县高质量发展筑牢市场监管“防护网”、注入质量发展“新动能”。</w:t>
      </w:r>
      <w:r>
        <w:rPr>
          <w:rFonts w:hint="eastAsia" w:ascii="仿宋_GB2312" w:hAnsi="仿宋_GB2312" w:eastAsia="仿宋_GB2312" w:cs="仿宋_GB2312"/>
          <w:sz w:val="32"/>
          <w:szCs w:val="32"/>
        </w:rPr>
        <w:t>形成了主要领导负总责、分管领导具体抓、各部门共同参与的良好工作格局，较好地完成了法治政府建设各项工作任务</w:t>
      </w:r>
      <w:r>
        <w:rPr>
          <w:rFonts w:hint="eastAsia" w:ascii="仿宋_GB2312" w:hAnsi="仿宋_GB2312" w:eastAsia="仿宋_GB2312" w:cs="仿宋_GB2312"/>
          <w:sz w:val="32"/>
          <w:szCs w:val="32"/>
          <w:lang w:eastAsia="zh-CN"/>
        </w:rPr>
        <w:t>：</w:t>
      </w:r>
    </w:p>
    <w:p w14:paraId="52E99F0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仿宋_GB2312" w:hAnsi="仿宋_GB2312" w:eastAsia="仿宋_GB2312" w:cs="仿宋_GB2312"/>
          <w:b w:val="0"/>
          <w:bCs w:val="0"/>
          <w:i w:val="0"/>
          <w:iCs w:val="0"/>
          <w:caps w:val="0"/>
          <w:color w:val="000000"/>
          <w:spacing w:val="0"/>
          <w:sz w:val="32"/>
          <w:szCs w:val="32"/>
          <w:shd w:val="clear" w:color="auto" w:fill="FFFFFF"/>
        </w:rPr>
      </w:pPr>
      <w:r>
        <w:rPr>
          <w:rFonts w:hint="eastAsia" w:ascii="楷体" w:hAnsi="楷体" w:eastAsia="楷体" w:cs="楷体"/>
          <w:b/>
          <w:bCs/>
          <w:i w:val="0"/>
          <w:iCs w:val="0"/>
          <w:caps w:val="0"/>
          <w:color w:val="000000"/>
          <w:spacing w:val="0"/>
          <w:sz w:val="32"/>
          <w:szCs w:val="32"/>
          <w:shd w:val="clear" w:color="auto" w:fill="FFFFFF"/>
          <w:lang w:eastAsia="zh-CN"/>
        </w:rPr>
        <w:t>（一）</w:t>
      </w:r>
      <w:r>
        <w:rPr>
          <w:rFonts w:hint="eastAsia" w:ascii="楷体" w:hAnsi="楷体" w:eastAsia="楷体" w:cs="楷体"/>
          <w:b/>
          <w:bCs/>
          <w:i w:val="0"/>
          <w:iCs w:val="0"/>
          <w:caps w:val="0"/>
          <w:color w:val="000000"/>
          <w:spacing w:val="0"/>
          <w:sz w:val="32"/>
          <w:szCs w:val="32"/>
          <w:shd w:val="clear" w:color="auto" w:fill="FFFFFF"/>
        </w:rPr>
        <w:t>加强组织领导</w:t>
      </w:r>
      <w:r>
        <w:rPr>
          <w:rFonts w:hint="eastAsia" w:ascii="楷体" w:hAnsi="楷体" w:eastAsia="楷体" w:cs="楷体"/>
          <w:b/>
          <w:bCs/>
          <w:i w:val="0"/>
          <w:iCs w:val="0"/>
          <w:caps w:val="0"/>
          <w:color w:val="000000"/>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000000"/>
          <w:spacing w:val="0"/>
          <w:sz w:val="32"/>
          <w:szCs w:val="32"/>
          <w:shd w:val="clear" w:color="auto" w:fill="FFFFFF"/>
        </w:rPr>
        <w:t>成立法治建设领导小组，亲自担任组长，统筹协调各部门推进法治建设各项任务</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000000"/>
          <w:spacing w:val="0"/>
          <w:sz w:val="32"/>
          <w:szCs w:val="32"/>
          <w:shd w:val="clear" w:color="auto" w:fill="FFFFFF"/>
        </w:rPr>
        <w:t>将法治政府建设纳入重要议事日程，定期召开专题会议研究部署法治建设工作，明确目标任务和具体措施。</w:t>
      </w:r>
    </w:p>
    <w:p w14:paraId="17439D5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eastAsia="仿宋_GB2312" w:hAnsiTheme="minorHAnsi" w:cstheme="minorBidi"/>
          <w:snapToGrid/>
          <w:color w:val="000000"/>
          <w:kern w:val="2"/>
          <w:sz w:val="32"/>
          <w:szCs w:val="24"/>
          <w:lang w:val="en-US" w:eastAsia="zh-CN" w:bidi="ar-SA"/>
          <w14:ligatures w14:val="none"/>
        </w:rPr>
      </w:pPr>
      <w:r>
        <w:rPr>
          <w:rFonts w:hint="eastAsia" w:ascii="楷体" w:hAnsi="楷体" w:eastAsia="楷体" w:cs="楷体"/>
          <w:b/>
          <w:bCs/>
          <w:i w:val="0"/>
          <w:iCs w:val="0"/>
          <w:caps w:val="0"/>
          <w:color w:val="000000"/>
          <w:spacing w:val="0"/>
          <w:sz w:val="32"/>
          <w:szCs w:val="32"/>
          <w:shd w:val="clear" w:color="auto" w:fill="FFFFFF"/>
          <w:lang w:eastAsia="zh-CN"/>
        </w:rPr>
        <w:t>（</w:t>
      </w:r>
      <w:r>
        <w:rPr>
          <w:rFonts w:hint="eastAsia" w:ascii="楷体" w:hAnsi="楷体" w:eastAsia="楷体" w:cs="楷体"/>
          <w:b/>
          <w:bCs/>
          <w:i w:val="0"/>
          <w:iCs w:val="0"/>
          <w:caps w:val="0"/>
          <w:color w:val="000000"/>
          <w:spacing w:val="0"/>
          <w:sz w:val="32"/>
          <w:szCs w:val="32"/>
          <w:shd w:val="clear" w:color="auto" w:fill="FFFFFF"/>
        </w:rPr>
        <w:t>二</w:t>
      </w:r>
      <w:r>
        <w:rPr>
          <w:rFonts w:hint="eastAsia" w:ascii="楷体" w:hAnsi="楷体" w:eastAsia="楷体" w:cs="楷体"/>
          <w:b/>
          <w:bCs/>
          <w:i w:val="0"/>
          <w:iCs w:val="0"/>
          <w:caps w:val="0"/>
          <w:color w:val="000000"/>
          <w:spacing w:val="0"/>
          <w:sz w:val="32"/>
          <w:szCs w:val="32"/>
          <w:shd w:val="clear" w:color="auto" w:fill="FFFFFF"/>
          <w:lang w:eastAsia="zh-CN"/>
        </w:rPr>
        <w:t>）</w:t>
      </w:r>
      <w:r>
        <w:rPr>
          <w:rFonts w:hint="eastAsia" w:ascii="楷体" w:hAnsi="楷体" w:eastAsia="楷体" w:cs="楷体"/>
          <w:b/>
          <w:bCs/>
          <w:i w:val="0"/>
          <w:iCs w:val="0"/>
          <w:caps w:val="0"/>
          <w:color w:val="000000"/>
          <w:spacing w:val="0"/>
          <w:sz w:val="32"/>
          <w:szCs w:val="32"/>
          <w:shd w:val="clear" w:color="auto" w:fill="FFFFFF"/>
        </w:rPr>
        <w:t>带头学法用法</w:t>
      </w:r>
      <w:r>
        <w:rPr>
          <w:rFonts w:hint="eastAsia" w:ascii="楷体" w:hAnsi="楷体" w:eastAsia="楷体" w:cs="楷体"/>
          <w:b/>
          <w:bCs/>
          <w:i w:val="0"/>
          <w:iCs w:val="0"/>
          <w:caps w:val="0"/>
          <w:color w:val="000000"/>
          <w:spacing w:val="0"/>
          <w:sz w:val="32"/>
          <w:szCs w:val="32"/>
          <w:shd w:val="clear" w:color="auto" w:fill="FFFFFF"/>
          <w:lang w:eastAsia="zh-CN"/>
        </w:rPr>
        <w:t>。</w:t>
      </w:r>
      <w:r>
        <w:rPr>
          <w:rFonts w:hint="eastAsia" w:ascii="仿宋_GB2312" w:eastAsia="仿宋_GB2312" w:hAnsiTheme="minorHAnsi" w:cstheme="minorBidi"/>
          <w:snapToGrid/>
          <w:color w:val="000000"/>
          <w:kern w:val="2"/>
          <w:sz w:val="32"/>
          <w:szCs w:val="24"/>
          <w:lang w:val="en-US" w:eastAsia="zh-CN" w:bidi="ar-SA"/>
          <w14:ligatures w14:val="none"/>
        </w:rPr>
        <w:t>严格落实党组“第一议题”、“三会一课”制度，依托</w:t>
      </w:r>
      <w:r>
        <w:rPr>
          <w:rFonts w:hint="eastAsia" w:ascii="仿宋_GB2312" w:eastAsia="仿宋_GB2312" w:cstheme="minorBidi"/>
          <w:snapToGrid/>
          <w:color w:val="000000"/>
          <w:kern w:val="2"/>
          <w:sz w:val="32"/>
          <w:szCs w:val="24"/>
          <w:lang w:val="en-US" w:eastAsia="zh-CN" w:bidi="ar-SA"/>
          <w14:ligatures w14:val="none"/>
        </w:rPr>
        <w:t>“周四大学习”</w:t>
      </w:r>
      <w:r>
        <w:rPr>
          <w:rFonts w:hint="eastAsia" w:ascii="仿宋_GB2312" w:eastAsia="仿宋_GB2312" w:hAnsiTheme="minorHAnsi" w:cstheme="minorBidi"/>
          <w:snapToGrid/>
          <w:color w:val="000000"/>
          <w:kern w:val="2"/>
          <w:sz w:val="32"/>
          <w:szCs w:val="24"/>
          <w:lang w:val="en-US" w:eastAsia="zh-CN" w:bidi="ar-SA"/>
          <w14:ligatures w14:val="none"/>
        </w:rPr>
        <w:t>“光州大讲堂”“市场监管业务学堂”平台，采取“班子领</w:t>
      </w:r>
      <w:r>
        <w:rPr>
          <w:rFonts w:hint="eastAsia" w:ascii="仿宋_GB2312" w:eastAsia="仿宋_GB2312" w:cstheme="minorBidi"/>
          <w:snapToGrid/>
          <w:color w:val="000000"/>
          <w:kern w:val="2"/>
          <w:sz w:val="32"/>
          <w:szCs w:val="24"/>
          <w:lang w:val="en-US" w:eastAsia="zh-CN" w:bidi="ar-SA"/>
          <w14:ligatures w14:val="none"/>
        </w:rPr>
        <w:t>学</w:t>
      </w:r>
      <w:r>
        <w:rPr>
          <w:rFonts w:hint="eastAsia" w:ascii="仿宋_GB2312" w:eastAsia="仿宋_GB2312" w:hAnsiTheme="minorHAnsi" w:cstheme="minorBidi"/>
          <w:snapToGrid/>
          <w:color w:val="000000"/>
          <w:kern w:val="2"/>
          <w:sz w:val="32"/>
          <w:szCs w:val="24"/>
          <w:lang w:val="en-US" w:eastAsia="zh-CN" w:bidi="ar-SA"/>
          <w14:ligatures w14:val="none"/>
        </w:rPr>
        <w:t>+专家讲学+现场研学”模式，常态化开展党的创新理论及业务专题培训，</w:t>
      </w:r>
      <w:r>
        <w:rPr>
          <w:rFonts w:hint="eastAsia" w:ascii="仿宋_GB2312" w:eastAsia="仿宋_GB2312"/>
          <w:sz w:val="32"/>
          <w:szCs w:val="32"/>
          <w:lang w:val="en-US" w:eastAsia="zh-CN"/>
        </w:rPr>
        <w:t>先后</w:t>
      </w:r>
      <w:r>
        <w:rPr>
          <w:rFonts w:hint="eastAsia" w:ascii="仿宋_GB2312" w:eastAsia="仿宋_GB2312" w:cstheme="minorBidi"/>
          <w:snapToGrid/>
          <w:color w:val="000000"/>
          <w:kern w:val="2"/>
          <w:sz w:val="32"/>
          <w:szCs w:val="24"/>
          <w:lang w:val="en-US" w:eastAsia="zh-CN" w:bidi="ar-SA"/>
          <w14:ligatures w14:val="none"/>
        </w:rPr>
        <w:t>开展</w:t>
      </w:r>
      <w:r>
        <w:rPr>
          <w:rFonts w:hint="eastAsia" w:ascii="仿宋_GB2312" w:eastAsia="仿宋_GB2312"/>
          <w:sz w:val="32"/>
          <w:szCs w:val="32"/>
          <w:lang w:val="en-US" w:eastAsia="zh-CN"/>
        </w:rPr>
        <w:t>党组书记上专题党课4次，“第一议题”学习8次，围绕中央八项规定及其实施细则精神等开展4次专题学习和研讨交流，</w:t>
      </w:r>
      <w:r>
        <w:rPr>
          <w:rFonts w:hint="eastAsia" w:ascii="仿宋_GB2312" w:eastAsia="仿宋_GB2312" w:hAnsiTheme="minorHAnsi" w:cstheme="minorBidi"/>
          <w:snapToGrid/>
          <w:color w:val="000000"/>
          <w:kern w:val="2"/>
          <w:sz w:val="32"/>
          <w:szCs w:val="24"/>
          <w:lang w:val="en-US" w:eastAsia="zh-CN" w:bidi="ar-SA"/>
          <w14:ligatures w14:val="none"/>
        </w:rPr>
        <w:t>推动理论学习与监管实践深度融合，全体干部职工政治素养和业务能力同步提升。</w:t>
      </w:r>
    </w:p>
    <w:p w14:paraId="60904C2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bCs w:val="0"/>
          <w:i w:val="0"/>
          <w:iCs w:val="0"/>
          <w:caps w:val="0"/>
          <w:color w:val="000000"/>
          <w:spacing w:val="0"/>
          <w:sz w:val="32"/>
          <w:szCs w:val="32"/>
          <w:shd w:val="clear" w:color="auto" w:fill="FFFFFF"/>
        </w:rPr>
      </w:pPr>
      <w:r>
        <w:rPr>
          <w:rFonts w:hint="eastAsia" w:ascii="楷体" w:hAnsi="楷体" w:eastAsia="楷体" w:cs="楷体"/>
          <w:b/>
          <w:bCs/>
          <w:i w:val="0"/>
          <w:iCs w:val="0"/>
          <w:caps w:val="0"/>
          <w:color w:val="000000"/>
          <w:spacing w:val="0"/>
          <w:sz w:val="32"/>
          <w:szCs w:val="32"/>
          <w:shd w:val="clear" w:color="auto" w:fill="FFFFFF"/>
          <w:lang w:eastAsia="zh-CN"/>
        </w:rPr>
        <w:t>（</w:t>
      </w:r>
      <w:r>
        <w:rPr>
          <w:rFonts w:hint="eastAsia" w:ascii="楷体" w:hAnsi="楷体" w:eastAsia="楷体" w:cs="楷体"/>
          <w:b/>
          <w:bCs/>
          <w:i w:val="0"/>
          <w:iCs w:val="0"/>
          <w:caps w:val="0"/>
          <w:color w:val="000000"/>
          <w:spacing w:val="0"/>
          <w:sz w:val="32"/>
          <w:szCs w:val="32"/>
          <w:shd w:val="clear" w:color="auto" w:fill="FFFFFF"/>
        </w:rPr>
        <w:t>三</w:t>
      </w:r>
      <w:r>
        <w:rPr>
          <w:rFonts w:hint="eastAsia" w:ascii="楷体" w:hAnsi="楷体" w:eastAsia="楷体" w:cs="楷体"/>
          <w:b/>
          <w:bCs/>
          <w:i w:val="0"/>
          <w:iCs w:val="0"/>
          <w:caps w:val="0"/>
          <w:color w:val="000000"/>
          <w:spacing w:val="0"/>
          <w:sz w:val="32"/>
          <w:szCs w:val="32"/>
          <w:shd w:val="clear" w:color="auto" w:fill="FFFFFF"/>
          <w:lang w:eastAsia="zh-CN"/>
        </w:rPr>
        <w:t>）</w:t>
      </w:r>
      <w:r>
        <w:rPr>
          <w:rFonts w:hint="eastAsia" w:ascii="楷体" w:hAnsi="楷体" w:eastAsia="楷体" w:cs="楷体"/>
          <w:b/>
          <w:bCs/>
          <w:i w:val="0"/>
          <w:iCs w:val="0"/>
          <w:caps w:val="0"/>
          <w:color w:val="000000"/>
          <w:spacing w:val="0"/>
          <w:sz w:val="32"/>
          <w:szCs w:val="32"/>
          <w:shd w:val="clear" w:color="auto" w:fill="FFFFFF"/>
        </w:rPr>
        <w:t>严格依法决策</w:t>
      </w:r>
      <w:r>
        <w:rPr>
          <w:rFonts w:hint="eastAsia" w:ascii="楷体" w:hAnsi="楷体" w:eastAsia="楷体" w:cs="楷体"/>
          <w:b/>
          <w:bCs/>
          <w:i w:val="0"/>
          <w:iCs w:val="0"/>
          <w:caps w:val="0"/>
          <w:color w:val="000000"/>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000000"/>
          <w:spacing w:val="0"/>
          <w:sz w:val="32"/>
          <w:szCs w:val="32"/>
          <w:shd w:val="clear" w:color="auto" w:fill="FFFFFF"/>
        </w:rPr>
        <w:t>建立健全重大行政决策合法性审查机制，对重大决策事项进行严格的法律审核，确保决策合法合规。</w:t>
      </w:r>
    </w:p>
    <w:p w14:paraId="1836A6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黑体" w:hAnsi="黑体" w:eastAsia="黑体" w:cs="黑体"/>
          <w:b/>
          <w:bCs/>
          <w:i w:val="0"/>
          <w:iCs w:val="0"/>
          <w:caps w:val="0"/>
          <w:color w:val="000000"/>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bCs/>
          <w:i w:val="0"/>
          <w:iCs w:val="0"/>
          <w:caps w:val="0"/>
          <w:color w:val="000000"/>
          <w:spacing w:val="0"/>
          <w:sz w:val="32"/>
          <w:szCs w:val="32"/>
          <w:shd w:val="clear" w:color="auto" w:fill="FFFFFF"/>
          <w:lang w:val="en-US" w:eastAsia="zh-CN"/>
        </w:rPr>
        <w:t xml:space="preserve"> </w:t>
      </w:r>
      <w:r>
        <w:rPr>
          <w:rFonts w:hint="eastAsia" w:ascii="黑体" w:hAnsi="黑体" w:eastAsia="黑体" w:cs="黑体"/>
          <w:b/>
          <w:bCs/>
          <w:i w:val="0"/>
          <w:iCs w:val="0"/>
          <w:caps w:val="0"/>
          <w:color w:val="000000"/>
          <w:spacing w:val="0"/>
          <w:sz w:val="32"/>
          <w:szCs w:val="32"/>
          <w:shd w:val="clear" w:color="auto" w:fill="FFFFFF"/>
          <w:lang w:val="en-US" w:eastAsia="zh-CN"/>
        </w:rPr>
        <w:t>二、2025年推进法治建设的主要举措和成效</w:t>
      </w:r>
    </w:p>
    <w:p w14:paraId="4D1C90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楷体_GB2312" w:hAnsi="楷体_GB2312" w:eastAsia="楷体_GB2312" w:cs="楷体_GB2312"/>
          <w:b/>
          <w:bCs/>
          <w:i w:val="0"/>
          <w:iCs w:val="0"/>
          <w:caps w:val="0"/>
          <w:color w:val="000000"/>
          <w:spacing w:val="0"/>
          <w:sz w:val="32"/>
          <w:szCs w:val="32"/>
          <w:shd w:val="clear" w:color="auto" w:fill="FFFFFF"/>
          <w:lang w:eastAsia="zh-CN"/>
        </w:rPr>
      </w:pPr>
      <w:r>
        <w:rPr>
          <w:rFonts w:hint="eastAsia" w:ascii="楷体_GB2312" w:hAnsi="楷体_GB2312" w:eastAsia="楷体_GB2312" w:cs="楷体_GB2312"/>
          <w:b/>
          <w:bCs/>
          <w:i w:val="0"/>
          <w:iCs w:val="0"/>
          <w:caps w:val="0"/>
          <w:color w:val="000000"/>
          <w:spacing w:val="0"/>
          <w:sz w:val="32"/>
          <w:szCs w:val="32"/>
          <w:shd w:val="clear" w:color="auto" w:fill="FFFFFF"/>
          <w:lang w:eastAsia="zh-CN"/>
        </w:rPr>
        <w:t>（一）</w:t>
      </w:r>
      <w:r>
        <w:rPr>
          <w:rFonts w:hint="eastAsia" w:ascii="楷体_GB2312" w:hAnsi="楷体_GB2312" w:eastAsia="楷体_GB2312" w:cs="楷体_GB2312"/>
          <w:b/>
          <w:bCs/>
          <w:i w:val="0"/>
          <w:iCs w:val="0"/>
          <w:caps w:val="0"/>
          <w:color w:val="000000"/>
          <w:spacing w:val="0"/>
          <w:sz w:val="32"/>
          <w:szCs w:val="32"/>
          <w:shd w:val="clear" w:color="auto" w:fill="FFFFFF"/>
        </w:rPr>
        <w:t>贯彻习近平法治思想</w:t>
      </w:r>
      <w:r>
        <w:rPr>
          <w:rFonts w:hint="eastAsia" w:ascii="楷体_GB2312" w:hAnsi="楷体_GB2312" w:eastAsia="楷体_GB2312" w:cs="楷体_GB2312"/>
          <w:b/>
          <w:bCs/>
          <w:i w:val="0"/>
          <w:iCs w:val="0"/>
          <w:caps w:val="0"/>
          <w:color w:val="000000"/>
          <w:spacing w:val="0"/>
          <w:sz w:val="32"/>
          <w:szCs w:val="32"/>
          <w:shd w:val="clear" w:color="auto" w:fill="FFFFFF"/>
          <w:lang w:eastAsia="zh-CN"/>
        </w:rPr>
        <w:t>，强化党纪学习教育</w:t>
      </w:r>
    </w:p>
    <w:p w14:paraId="47B7CE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bCs w:val="0"/>
          <w:i w:val="0"/>
          <w:iCs w:val="0"/>
          <w:caps w:val="0"/>
          <w:color w:val="000000"/>
          <w:spacing w:val="0"/>
          <w:sz w:val="32"/>
          <w:szCs w:val="32"/>
          <w:shd w:val="clear" w:color="auto" w:fill="FFFFFF"/>
        </w:rPr>
      </w:pPr>
      <w:r>
        <w:rPr>
          <w:rFonts w:hint="eastAsia" w:ascii="仿宋_GB2312" w:hAnsi="仿宋_GB2312" w:eastAsia="仿宋_GB2312" w:cs="仿宋_GB2312"/>
          <w:b/>
          <w:bCs/>
          <w:i w:val="0"/>
          <w:iCs w:val="0"/>
          <w:caps w:val="0"/>
          <w:color w:val="000000"/>
          <w:spacing w:val="0"/>
          <w:sz w:val="32"/>
          <w:szCs w:val="32"/>
          <w:shd w:val="clear" w:color="auto" w:fill="FFFFFF"/>
          <w:lang w:val="en-US" w:eastAsia="zh-CN"/>
        </w:rPr>
        <w:t>1</w:t>
      </w:r>
      <w:r>
        <w:rPr>
          <w:rFonts w:hint="eastAsia" w:ascii="仿宋_GB2312" w:hAnsi="仿宋_GB2312" w:eastAsia="仿宋_GB2312" w:cs="仿宋_GB2312"/>
          <w:b/>
          <w:bCs/>
          <w:i w:val="0"/>
          <w:iCs w:val="0"/>
          <w:caps w:val="0"/>
          <w:color w:val="000000"/>
          <w:spacing w:val="0"/>
          <w:sz w:val="32"/>
          <w:szCs w:val="32"/>
          <w:shd w:val="clear" w:color="auto" w:fill="FFFFFF"/>
          <w:lang w:eastAsia="zh-CN"/>
        </w:rPr>
        <w:t>、</w:t>
      </w:r>
      <w:r>
        <w:rPr>
          <w:rFonts w:hint="eastAsia" w:ascii="仿宋_GB2312" w:hAnsi="仿宋_GB2312" w:eastAsia="仿宋_GB2312" w:cs="仿宋_GB2312"/>
          <w:b/>
          <w:bCs/>
          <w:i w:val="0"/>
          <w:iCs w:val="0"/>
          <w:caps w:val="0"/>
          <w:color w:val="000000"/>
          <w:spacing w:val="0"/>
          <w:sz w:val="32"/>
          <w:szCs w:val="32"/>
          <w:shd w:val="clear" w:color="auto" w:fill="FFFFFF"/>
        </w:rPr>
        <w:t>学习贯彻习近平法治思想</w:t>
      </w:r>
      <w:r>
        <w:rPr>
          <w:rFonts w:hint="eastAsia" w:ascii="仿宋_GB2312" w:hAnsi="仿宋_GB2312" w:eastAsia="仿宋_GB2312" w:cs="仿宋_GB2312"/>
          <w:b/>
          <w:bCs/>
          <w:i w:val="0"/>
          <w:iCs w:val="0"/>
          <w:caps w:val="0"/>
          <w:color w:val="000000"/>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000000"/>
          <w:spacing w:val="0"/>
          <w:sz w:val="32"/>
          <w:szCs w:val="32"/>
          <w:shd w:val="clear" w:color="auto" w:fill="FFFFFF"/>
        </w:rPr>
        <w:t>我局将“一规划两纲要”作为重要政治任务纳入党组会议、党组理论学习中心组等会议开展专题学习，发挥领导以上率下，带头学习的良好氛围</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000000"/>
          <w:spacing w:val="0"/>
          <w:sz w:val="32"/>
          <w:szCs w:val="32"/>
          <w:shd w:val="clear" w:color="auto" w:fill="FFFFFF"/>
        </w:rPr>
        <w:t>全面贯彻习近平法治思想，深刻领悟“ 两个确立” 的决定性意义，增强“四个意识”，坚定“四个自信”，做到“两个维护”，紧紧围绕建设中国特色社会主义法治体系、 建设社会主义法治国家的总目标，坚持党的领导，在围绕中心、服务大局中忠诚履职</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000000"/>
          <w:spacing w:val="0"/>
          <w:sz w:val="32"/>
          <w:szCs w:val="32"/>
          <w:shd w:val="clear" w:color="auto" w:fill="FFFFFF"/>
        </w:rPr>
        <w:t>通过开展习近平法治思想</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及</w:t>
      </w:r>
      <w:r>
        <w:rPr>
          <w:rFonts w:hint="eastAsia" w:ascii="仿宋_GB2312" w:hAnsi="仿宋_GB2312" w:eastAsia="仿宋_GB2312" w:cs="仿宋_GB2312"/>
          <w:b w:val="0"/>
          <w:bCs w:val="0"/>
          <w:i w:val="0"/>
          <w:iCs w:val="0"/>
          <w:caps w:val="0"/>
          <w:color w:val="000000"/>
          <w:spacing w:val="0"/>
          <w:sz w:val="32"/>
          <w:szCs w:val="32"/>
          <w:shd w:val="clear" w:color="auto" w:fill="FFFFFF"/>
        </w:rPr>
        <w:t>《宪法》《民法典》《行政处罚法》学法活动，促进干部职工加强对习近平法治思想、“一规划两纲要”、《民法典》等法治知识的学习理解，自觉运用习近平法治思想武装头脑、指导实践、推动工作。</w:t>
      </w:r>
    </w:p>
    <w:p w14:paraId="14CB66CE">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仿宋_GB2312" w:hAnsi="仿宋_GB2312" w:eastAsia="仿宋_GB2312" w:cs="仿宋_GB2312"/>
          <w:b w:val="0"/>
          <w:bCs w:val="0"/>
          <w:i w:val="0"/>
          <w:iCs w:val="0"/>
          <w:caps w:val="0"/>
          <w:color w:val="000000"/>
          <w:spacing w:val="0"/>
          <w:sz w:val="32"/>
          <w:szCs w:val="32"/>
          <w:shd w:val="clear" w:color="auto" w:fill="FFFFFF"/>
        </w:rPr>
      </w:pPr>
      <w:r>
        <w:rPr>
          <w:rFonts w:hint="eastAsia" w:ascii="楷体_GB2312" w:eastAsia="楷体_GB2312"/>
          <w:b/>
          <w:bCs/>
          <w:sz w:val="32"/>
          <w:szCs w:val="32"/>
          <w:lang w:val="en-US" w:eastAsia="zh-CN"/>
        </w:rPr>
        <w:t>2、</w:t>
      </w:r>
      <w:r>
        <w:rPr>
          <w:rFonts w:hint="eastAsia" w:ascii="楷体_GB2312" w:eastAsia="楷体_GB2312"/>
          <w:b/>
          <w:bCs/>
          <w:sz w:val="32"/>
          <w:szCs w:val="32"/>
        </w:rPr>
        <w:t>强党建、明纪律。</w:t>
      </w:r>
      <w:r>
        <w:rPr>
          <w:rFonts w:hint="eastAsia" w:ascii="仿宋_GB2312" w:eastAsia="仿宋_GB2312"/>
          <w:sz w:val="32"/>
          <w:szCs w:val="32"/>
        </w:rPr>
        <w:t>坚持“紧扣业务抓党建、抓好党建促发展”工作思路，充分发挥党建引领作用，着力创建“市场卫士 服务先锋”党建品牌，持续吹响“党建+市场监管”的“集结号”，以高质量党建引领推动市场监管事业高质量发展。</w:t>
      </w:r>
      <w:r>
        <w:rPr>
          <w:rFonts w:hint="eastAsia" w:ascii="仿宋_GB2312" w:eastAsia="仿宋_GB2312" w:hAnsiTheme="minorHAnsi" w:cstheme="minorBidi"/>
          <w:snapToGrid/>
          <w:color w:val="000000"/>
          <w:kern w:val="2"/>
          <w:sz w:val="32"/>
          <w:szCs w:val="24"/>
          <w:lang w:val="en-US" w:eastAsia="zh-CN" w:bidi="ar-SA"/>
          <w14:ligatures w14:val="none"/>
        </w:rPr>
        <w:t>聚焦关键岗位、重点环节，建立“廉政风险动态排查+防控措施迭代更新”机制，梳理廉政风险点，制定针对性防控举措</w:t>
      </w:r>
      <w:r>
        <w:rPr>
          <w:rFonts w:hint="eastAsia" w:ascii="仿宋_GB2312" w:eastAsia="仿宋_GB2312" w:cstheme="minorBidi"/>
          <w:snapToGrid/>
          <w:color w:val="000000"/>
          <w:kern w:val="2"/>
          <w:sz w:val="32"/>
          <w:szCs w:val="24"/>
          <w:lang w:val="en-US" w:eastAsia="zh-CN" w:bidi="ar-SA"/>
          <w14:ligatures w14:val="none"/>
        </w:rPr>
        <w:t>。</w:t>
      </w:r>
      <w:r>
        <w:rPr>
          <w:rFonts w:hint="eastAsia" w:ascii="仿宋_GB2312" w:eastAsia="仿宋_GB2312" w:hAnsiTheme="minorHAnsi" w:cstheme="minorBidi"/>
          <w:snapToGrid/>
          <w:color w:val="000000"/>
          <w:kern w:val="2"/>
          <w:sz w:val="32"/>
          <w:szCs w:val="24"/>
          <w:lang w:val="en-US" w:eastAsia="zh-CN" w:bidi="ar-SA"/>
          <w14:ligatures w14:val="none"/>
        </w:rPr>
        <w:t>全年开展廉政教育活动、</w:t>
      </w:r>
      <w:r>
        <w:rPr>
          <w:rFonts w:hint="eastAsia" w:ascii="仿宋_GB2312" w:eastAsia="仿宋_GB2312" w:cstheme="minorBidi"/>
          <w:snapToGrid/>
          <w:color w:val="000000"/>
          <w:kern w:val="2"/>
          <w:sz w:val="32"/>
          <w:szCs w:val="24"/>
          <w:lang w:val="en-US" w:eastAsia="zh-CN" w:bidi="ar-SA"/>
          <w14:ligatures w14:val="none"/>
        </w:rPr>
        <w:t>分级分类建立廉政档案，实现“一人一档”。</w:t>
      </w:r>
      <w:r>
        <w:rPr>
          <w:rFonts w:hint="eastAsia" w:ascii="仿宋_GB2312" w:eastAsia="仿宋_GB2312"/>
          <w:sz w:val="32"/>
          <w:szCs w:val="32"/>
          <w:lang w:val="en-US" w:eastAsia="zh-CN"/>
        </w:rPr>
        <w:t>组织县局 71名科级、股级干部开展分层次同级同类警示教育1次，4次召开系统各单位、部门负责人参加的学习教育工作会、教育警示会，推进全局学习教育工作，</w:t>
      </w:r>
      <w:r>
        <w:rPr>
          <w:rFonts w:hint="eastAsia" w:ascii="仿宋_GB2312" w:eastAsia="仿宋_GB2312" w:hAnsiTheme="minorHAnsi" w:cstheme="minorBidi"/>
          <w:snapToGrid/>
          <w:color w:val="000000"/>
          <w:kern w:val="2"/>
          <w:sz w:val="32"/>
          <w:szCs w:val="24"/>
          <w:lang w:val="en-US" w:eastAsia="zh-CN" w:bidi="ar-SA"/>
          <w14:ligatures w14:val="none"/>
        </w:rPr>
        <w:t>营造风清气正、干事创业的良好氛围。</w:t>
      </w:r>
    </w:p>
    <w:p w14:paraId="3AC9026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）规范公正文明执法</w:t>
      </w:r>
    </w:p>
    <w:p w14:paraId="4C2AA9B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扎实推进行政执法三项制度的贯彻落实。</w:t>
      </w:r>
      <w:r>
        <w:rPr>
          <w:rFonts w:hint="eastAsia" w:ascii="仿宋_GB2312" w:hAnsi="仿宋_GB2312" w:eastAsia="仿宋_GB2312" w:cs="仿宋_GB2312"/>
          <w:sz w:val="32"/>
          <w:szCs w:val="32"/>
        </w:rPr>
        <w:t>推进行政执法规范化建设，全面落实行政执法公示、执法全过程记录和重大执法决定法制审核“三项制度”。按照“谁执法、谁公开”原则，及时、主动公开行政执法信息。在日常工作中规范着装和标识、在执法活动中主动亮明身份，在执法过程中全面推行行政执法全过程记录制度。根据市局的相关规定，结合我局实际制定《</w:t>
      </w:r>
      <w:r>
        <w:rPr>
          <w:rFonts w:hint="eastAsia" w:ascii="仿宋_GB2312" w:hAnsi="仿宋_GB2312" w:eastAsia="仿宋_GB2312" w:cs="仿宋_GB2312"/>
          <w:sz w:val="32"/>
          <w:szCs w:val="32"/>
          <w:lang w:eastAsia="zh-CN"/>
        </w:rPr>
        <w:t>行政执法人员廉洁自律行为规范</w:t>
      </w:r>
      <w:r>
        <w:rPr>
          <w:rFonts w:hint="eastAsia" w:ascii="仿宋_GB2312" w:hAnsi="仿宋_GB2312" w:eastAsia="仿宋_GB2312" w:cs="仿宋_GB2312"/>
          <w:sz w:val="32"/>
          <w:szCs w:val="32"/>
        </w:rPr>
        <w:t>》、《潢川县市场监督管理局</w:t>
      </w:r>
      <w:r>
        <w:rPr>
          <w:rFonts w:hint="eastAsia" w:ascii="仿宋_GB2312" w:hAnsi="仿宋_GB2312" w:eastAsia="仿宋_GB2312" w:cs="仿宋_GB2312"/>
          <w:sz w:val="32"/>
          <w:szCs w:val="32"/>
          <w:lang w:eastAsia="zh-CN"/>
        </w:rPr>
        <w:t>市场监管行政执法与纪检监察衔接工作制度（试行）</w:t>
      </w:r>
      <w:r>
        <w:rPr>
          <w:rFonts w:hint="eastAsia" w:ascii="仿宋_GB2312" w:hAnsi="仿宋_GB2312" w:eastAsia="仿宋_GB2312" w:cs="仿宋_GB2312"/>
          <w:sz w:val="32"/>
          <w:szCs w:val="32"/>
        </w:rPr>
        <w:t>》等制度，推动了全局执法机制、执法制度的进一步规范，全面落实重大执法决定法制审核制度。</w:t>
      </w:r>
    </w:p>
    <w:p w14:paraId="5243EED6">
      <w:pPr>
        <w:spacing w:line="579" w:lineRule="exact"/>
        <w:ind w:firstLine="643" w:firstLineChars="200"/>
        <w:rPr>
          <w:rFonts w:hint="eastAsia" w:ascii="仿宋_GB2312" w:eastAsia="仿宋_GB2312"/>
          <w:sz w:val="32"/>
          <w:szCs w:val="32"/>
        </w:rPr>
      </w:pPr>
      <w:r>
        <w:rPr>
          <w:rFonts w:hint="eastAsia" w:ascii="仿宋_GB2312" w:eastAsia="仿宋_GB2312"/>
          <w:b/>
          <w:bCs/>
          <w:sz w:val="32"/>
          <w:szCs w:val="32"/>
          <w:lang w:val="en-US" w:eastAsia="zh-CN"/>
        </w:rPr>
        <w:t>2、</w:t>
      </w:r>
      <w:r>
        <w:rPr>
          <w:rFonts w:hint="eastAsia" w:ascii="仿宋_GB2312" w:eastAsia="仿宋_GB2312"/>
          <w:b/>
          <w:bCs/>
          <w:sz w:val="32"/>
          <w:szCs w:val="32"/>
        </w:rPr>
        <w:t>精准发力强监管。</w:t>
      </w:r>
      <w:r>
        <w:rPr>
          <w:rFonts w:hint="eastAsia" w:ascii="仿宋_GB2312" w:eastAsia="仿宋_GB2312"/>
          <w:sz w:val="32"/>
          <w:szCs w:val="32"/>
        </w:rPr>
        <w:t>紧扣“活力、秩序、质量、安全”四个关键词，严格规范公正文明执法全心全意为人民群众办实事、办成事。聚焦民生重点领域，充分发挥市场监管综合执法优势，深入民生领域“铁拳行动”、食品安全“守底线、查隐患、保安全”专项行动、药品安全“春风行动”、质量安全专项整治行动、特种设备“重点时间段、重大节假日，重大行动特种设备安全检查”、网络、广告、教育收费专项检查，坚持“细查、严管、重罚、实改”，让群众获得感、幸福感、安全感更加充实、更有保障、更可持续。今年以来，采用日常检查与飞行检查相结合的监管模式，累计监督检查食品企业142家次、小作坊132家次，完成74家食品生产企业、86家食品加工小作坊风险分级动态调整，开展保健食品清理、“三小”治理提升、假劣肉制品整治等专项行动，全年食品抽检累计2700 批，合格率 98.4%，不合格产品全部完成核查处置。强化校园食品安全监管，对152所学校及校外供餐企业完成“拉网式”排查，整改隐患800余项，实现“互联网 + 明厨亮灶”、食品安全责任险全覆盖。在医疗器械领域，对167家经营企业、345家使用单位开展专项整治，整改索证索票不全、管理制度不健全等问题21个，注销15家不具备经营条件的二类医疗器械备案企业，上报不良事件320 例；在药品监管领域开展“清源”行动、未成年人购药安全整治等专项工作，检查药品零售企业50家、使用单位85家、疾控及接种单位20家</w:t>
      </w:r>
      <w:r>
        <w:rPr>
          <w:rFonts w:hint="eastAsia" w:ascii="仿宋_GB2312" w:eastAsia="仿宋_GB2312"/>
          <w:sz w:val="32"/>
          <w:szCs w:val="32"/>
          <w:lang w:eastAsia="zh-CN"/>
        </w:rPr>
        <w:t>，</w:t>
      </w:r>
      <w:r>
        <w:rPr>
          <w:rFonts w:hint="eastAsia" w:ascii="仿宋_GB2312" w:eastAsia="仿宋_GB2312"/>
          <w:sz w:val="32"/>
          <w:szCs w:val="32"/>
        </w:rPr>
        <w:t>上报不良反应741条。在化妆品领域，聚焦在特殊产品、儿童化妆品等重点监管产品上，检查相关经营使用单位76家次，帮助63家化妆品企业完成规范提升，上报不良反应180条，解决立案查处标签不规范、虚假宣传等问题。特种设备安全严防死守。落实“党政同责、一岗双责”和“三管三必须”要求，构建“政府主导、部门协同、企业主责、社会参与”共治格局</w:t>
      </w:r>
      <w:r>
        <w:rPr>
          <w:rFonts w:hint="eastAsia" w:ascii="仿宋_GB2312" w:eastAsia="仿宋_GB2312"/>
          <w:sz w:val="32"/>
          <w:szCs w:val="32"/>
          <w:lang w:eastAsia="zh-CN"/>
        </w:rPr>
        <w:t>，</w:t>
      </w:r>
      <w:r>
        <w:rPr>
          <w:rFonts w:hint="eastAsia" w:ascii="仿宋_GB2312" w:eastAsia="仿宋_GB2312"/>
          <w:sz w:val="32"/>
          <w:szCs w:val="32"/>
        </w:rPr>
        <w:t>深化隐患排查整治工作，重点检查电梯2570台次，整改问题隐患电梯340台次，发出监察指令75份，查处违法案件3起，罚没2.5万元，曝光典型案例1起；针对“三无”电梯问题发送专项告知函 18 份，整改隐患116台</w:t>
      </w:r>
      <w:r>
        <w:rPr>
          <w:rFonts w:hint="eastAsia" w:ascii="仿宋_GB2312" w:eastAsia="仿宋_GB2312"/>
          <w:sz w:val="32"/>
          <w:szCs w:val="32"/>
          <w:lang w:eastAsia="zh-CN"/>
        </w:rPr>
        <w:t>。聚</w:t>
      </w:r>
      <w:r>
        <w:rPr>
          <w:rFonts w:hint="eastAsia" w:ascii="仿宋_GB2312" w:eastAsia="仿宋_GB2312"/>
          <w:sz w:val="32"/>
          <w:szCs w:val="32"/>
        </w:rPr>
        <w:t>焦儿童玩具、电动自行车、消防产品等民生消费品，开展质量安全专项检查，全年检查经营主体180余家，监督抽检工业产品150余批次。截至目前，累计排查发现问题12个、完成整改7个，立案查处违法违规案件8起、已结案3起，剩余5起正在调查推进，推动行业经营秩序持续规范、安全防线不断筑牢。聚焦民生领域开展 “铁拳”行动，查办一般程序案件112起，罚没款73.64万元，其中3起案例入选省市典型案例，1起获评全省食品安全执法稽查优秀案例。深化民生计量专项整治，查处企业收购稻谷计量作弊案件2起，罚没款9.15万元。净化烟草市场，查处无证经营、假冒伪劣等案件34起，罚没款4.17 万元；规范网络交易，依托“智慧网监”平台监测，查处虚假广告、不正当竞争等案件4起，罚没款7.24万元。</w:t>
      </w:r>
    </w:p>
    <w:p w14:paraId="74CA45D0">
      <w:pPr>
        <w:spacing w:line="579" w:lineRule="exact"/>
        <w:ind w:firstLine="643" w:firstLineChars="200"/>
        <w:rPr>
          <w:rFonts w:hint="eastAsia" w:ascii="仿宋_GB2312" w:eastAsia="仿宋_GB2312"/>
          <w:b w:val="0"/>
          <w:bCs w:val="0"/>
          <w:color w:val="auto"/>
          <w:sz w:val="32"/>
          <w:szCs w:val="32"/>
          <w:lang w:val="en-US" w:eastAsia="zh-CN"/>
        </w:rPr>
      </w:pPr>
      <w:r>
        <w:rPr>
          <w:rFonts w:hint="eastAsia" w:ascii="仿宋_GB2312" w:eastAsia="仿宋_GB2312"/>
          <w:b/>
          <w:bCs/>
          <w:sz w:val="32"/>
          <w:szCs w:val="32"/>
          <w:lang w:val="en-US" w:eastAsia="zh-CN"/>
        </w:rPr>
        <w:t>3、</w:t>
      </w:r>
      <w:r>
        <w:rPr>
          <w:rFonts w:hint="eastAsia" w:ascii="仿宋_GB2312" w:eastAsia="仿宋_GB2312"/>
          <w:b/>
          <w:bCs/>
          <w:sz w:val="32"/>
          <w:szCs w:val="32"/>
        </w:rPr>
        <w:t>全面深化商事制度改革。</w:t>
      </w:r>
      <w:r>
        <w:rPr>
          <w:rFonts w:hint="eastAsia" w:ascii="仿宋_GB2312" w:eastAsia="仿宋_GB2312"/>
          <w:sz w:val="32"/>
          <w:szCs w:val="32"/>
        </w:rPr>
        <w:t>持续推进企业全生命周期“一件事一次办”改革，实施“一次告知、一表申请、一窗受理、一并审批、一次办好”主题式集成服务，推行智能审批系统，实现企业设立登记“秒批秒办”“无感审批”。</w:t>
      </w:r>
      <w:r>
        <w:rPr>
          <w:rFonts w:hint="eastAsia" w:ascii="仿宋_GB2312" w:eastAsia="仿宋_GB2312"/>
          <w:sz w:val="32"/>
          <w:szCs w:val="32"/>
          <w:lang w:eastAsia="zh-CN"/>
        </w:rPr>
        <w:t>当前，</w:t>
      </w:r>
      <w:r>
        <w:rPr>
          <w:rFonts w:hint="eastAsia" w:ascii="仿宋_GB2312" w:eastAsia="仿宋_GB2312"/>
          <w:sz w:val="32"/>
          <w:szCs w:val="32"/>
        </w:rPr>
        <w:t>推行“一业一证”集成改革，将餐饮、零售等行业审批事项整合为1张综合许可证，审批时限压缩至0.5个工作日；拓展“智能审批”场景，实现个体工商户设立、变更“全程网办、秒批秒办”，企业设立全程网办率达 100%。创新推出注销预检、代位注销服务，解决市场主体“准入容易退出难”问题</w:t>
      </w:r>
      <w:r>
        <w:rPr>
          <w:rFonts w:hint="eastAsia" w:ascii="仿宋_GB2312" w:eastAsia="仿宋_GB2312"/>
          <w:sz w:val="32"/>
          <w:szCs w:val="32"/>
          <w:lang w:eastAsia="zh-CN"/>
        </w:rPr>
        <w:t>；</w:t>
      </w:r>
      <w:r>
        <w:rPr>
          <w:rFonts w:hint="eastAsia" w:ascii="仿宋_GB2312" w:eastAsia="仿宋_GB2312" w:hAnsiTheme="minorHAnsi" w:cstheme="minorBidi"/>
          <w:snapToGrid/>
          <w:color w:val="000000"/>
          <w:kern w:val="2"/>
          <w:sz w:val="32"/>
          <w:szCs w:val="24"/>
          <w:lang w:val="en-US" w:eastAsia="zh-CN" w:bidi="ar-SA"/>
          <w14:ligatures w14:val="none"/>
        </w:rPr>
        <w:t>建立“重点企业包联+小微企业帮扶”机制，为企业配备“首席服务官”，提供政策解读、许可办理等一对一服务。为大学生创业、退役军人返乡创业等群体开设“绿色通道”，简化办事流程、缩短办理时限。</w:t>
      </w:r>
      <w:r>
        <w:rPr>
          <w:rFonts w:hint="eastAsia" w:ascii="仿宋_GB2312" w:eastAsia="仿宋_GB2312"/>
          <w:sz w:val="32"/>
          <w:szCs w:val="32"/>
        </w:rPr>
        <w:t>截至2025年 11月，全县现存市场主体达64855户，其中企业12501户、个体50683户、农民专业合作社1671户，全年新增市场主体同比增长 18.85%。</w:t>
      </w:r>
    </w:p>
    <w:p w14:paraId="41C31DD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（三）质量赋能促升级，厚植品牌发展优势</w:t>
      </w:r>
    </w:p>
    <w:p w14:paraId="59A77E62">
      <w:pPr>
        <w:keepNext w:val="0"/>
        <w:keepLines w:val="0"/>
        <w:pageBreakBefore w:val="0"/>
        <w:widowControl w:val="0"/>
        <w:numPr>
          <w:ilvl w:val="0"/>
          <w:numId w:val="0"/>
        </w:numPr>
        <w:kinsoku/>
        <w:wordWrap/>
        <w:overflowPunct/>
        <w:topLinePunct/>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hAnsiTheme="minorHAnsi" w:cstheme="minorBidi"/>
          <w:snapToGrid/>
          <w:color w:val="000000"/>
          <w:kern w:val="2"/>
          <w:sz w:val="32"/>
          <w:szCs w:val="24"/>
          <w:lang w:val="en-US" w:eastAsia="zh-CN" w:bidi="ar-SA"/>
          <w14:ligatures w14:val="none"/>
        </w:rPr>
        <w:t>深入实施“质量强县”战略，以标准、计量、知识产权为支撑，推动县域产业向“质量型、品牌型”转型。</w:t>
      </w:r>
      <w:r>
        <w:rPr>
          <w:rFonts w:hint="eastAsia" w:ascii="仿宋_GB2312" w:eastAsia="仿宋_GB2312" w:hAnsiTheme="minorHAnsi" w:cstheme="minorBidi"/>
          <w:b/>
          <w:bCs/>
          <w:snapToGrid/>
          <w:color w:val="000000"/>
          <w:kern w:val="2"/>
          <w:sz w:val="32"/>
          <w:szCs w:val="24"/>
          <w:lang w:val="en-US" w:eastAsia="zh-CN" w:bidi="ar-SA"/>
          <w14:ligatures w14:val="none"/>
        </w:rPr>
        <w:t>标准化建设赋能产业</w:t>
      </w:r>
      <w:r>
        <w:rPr>
          <w:rFonts w:hint="eastAsia" w:ascii="仿宋_GB2312" w:eastAsia="仿宋_GB2312" w:cstheme="minorBidi"/>
          <w:b/>
          <w:bCs/>
          <w:snapToGrid/>
          <w:color w:val="000000"/>
          <w:kern w:val="2"/>
          <w:sz w:val="32"/>
          <w:szCs w:val="24"/>
          <w:lang w:val="en-US" w:eastAsia="zh-CN" w:bidi="ar-SA"/>
          <w14:ligatures w14:val="none"/>
        </w:rPr>
        <w:t>。</w:t>
      </w:r>
      <w:r>
        <w:rPr>
          <w:rFonts w:hint="eastAsia" w:ascii="仿宋_GB2312" w:eastAsia="仿宋_GB2312" w:hAnsiTheme="minorHAnsi" w:cstheme="minorBidi"/>
          <w:snapToGrid/>
          <w:color w:val="000000"/>
          <w:kern w:val="2"/>
          <w:sz w:val="32"/>
          <w:szCs w:val="24"/>
          <w:lang w:val="en-US" w:eastAsia="zh-CN" w:bidi="ar-SA"/>
          <w14:ligatures w14:val="none"/>
        </w:rPr>
        <w:t>积极推动《地理标志产品 潢川甲鱼》省级地方标准正式落地实施，为甲鱼养殖产业提供统一技术规范</w:t>
      </w:r>
      <w:r>
        <w:rPr>
          <w:rFonts w:hint="eastAsia" w:ascii="仿宋_GB2312" w:eastAsia="仿宋_GB2312" w:cstheme="minorBidi"/>
          <w:snapToGrid/>
          <w:color w:val="000000"/>
          <w:kern w:val="2"/>
          <w:sz w:val="32"/>
          <w:szCs w:val="24"/>
          <w:lang w:val="en-US" w:eastAsia="zh-CN" w:bidi="ar-SA"/>
          <w14:ligatures w14:val="none"/>
        </w:rPr>
        <w:t>；</w:t>
      </w:r>
      <w:r>
        <w:rPr>
          <w:rFonts w:hint="eastAsia" w:ascii="仿宋_GB2312" w:eastAsia="仿宋_GB2312" w:hAnsiTheme="minorHAnsi" w:cstheme="minorBidi"/>
          <w:snapToGrid/>
          <w:color w:val="000000"/>
          <w:kern w:val="2"/>
          <w:sz w:val="32"/>
          <w:szCs w:val="24"/>
          <w:lang w:val="en-US" w:eastAsia="zh-CN" w:bidi="ar-SA"/>
          <w14:ligatures w14:val="none"/>
        </w:rPr>
        <w:t>修订《地理标志产品 潢川空心贡面》地方标准，指导相关企业制定10余项企业标准，完善全产业链标准体系。</w:t>
      </w:r>
      <w:r>
        <w:rPr>
          <w:rFonts w:hint="eastAsia" w:ascii="仿宋_GB2312" w:eastAsia="仿宋_GB2312" w:cstheme="minorBidi"/>
          <w:snapToGrid/>
          <w:color w:val="000000"/>
          <w:kern w:val="2"/>
          <w:sz w:val="32"/>
          <w:szCs w:val="24"/>
          <w:lang w:val="en-US" w:eastAsia="zh-CN" w:bidi="ar-SA"/>
          <w14:ligatures w14:val="none"/>
        </w:rPr>
        <w:t>积极配合验收工作，推动</w:t>
      </w:r>
      <w:r>
        <w:rPr>
          <w:rFonts w:hint="eastAsia" w:ascii="仿宋_GB2312" w:eastAsia="仿宋_GB2312" w:hAnsiTheme="minorHAnsi" w:cstheme="minorBidi"/>
          <w:snapToGrid/>
          <w:color w:val="000000"/>
          <w:kern w:val="2"/>
          <w:sz w:val="32"/>
          <w:szCs w:val="24"/>
          <w:lang w:val="en-US" w:eastAsia="zh-CN" w:bidi="ar-SA"/>
          <w14:ligatures w14:val="none"/>
        </w:rPr>
        <w:t>糯稻种植及加工省级标准化示范项目通过验收，</w:t>
      </w:r>
      <w:r>
        <w:rPr>
          <w:rFonts w:hint="eastAsia" w:ascii="仿宋_GB2312" w:eastAsia="仿宋_GB2312" w:cstheme="minorBidi"/>
          <w:snapToGrid/>
          <w:color w:val="000000"/>
          <w:kern w:val="2"/>
          <w:sz w:val="32"/>
          <w:szCs w:val="24"/>
          <w:lang w:val="en-US" w:eastAsia="zh-CN" w:bidi="ar-SA"/>
          <w14:ligatures w14:val="none"/>
        </w:rPr>
        <w:t>并且加快</w:t>
      </w:r>
      <w:r>
        <w:rPr>
          <w:rFonts w:hint="eastAsia" w:ascii="仿宋_GB2312" w:eastAsia="仿宋_GB2312" w:hAnsiTheme="minorHAnsi" w:cstheme="minorBidi"/>
          <w:snapToGrid/>
          <w:color w:val="000000"/>
          <w:kern w:val="2"/>
          <w:sz w:val="32"/>
          <w:szCs w:val="24"/>
          <w:lang w:val="en-US" w:eastAsia="zh-CN" w:bidi="ar-SA"/>
          <w14:ligatures w14:val="none"/>
        </w:rPr>
        <w:t>潢川空心贡面标准化示范项目完成创建任务</w:t>
      </w:r>
      <w:r>
        <w:rPr>
          <w:rFonts w:hint="eastAsia" w:ascii="仿宋_GB2312" w:eastAsia="仿宋_GB2312" w:cstheme="minorBidi"/>
          <w:snapToGrid/>
          <w:color w:val="000000"/>
          <w:kern w:val="2"/>
          <w:sz w:val="32"/>
          <w:szCs w:val="24"/>
          <w:lang w:val="en-US" w:eastAsia="zh-CN" w:bidi="ar-SA"/>
          <w14:ligatures w14:val="none"/>
        </w:rPr>
        <w:t>，现</w:t>
      </w:r>
      <w:r>
        <w:rPr>
          <w:rFonts w:hint="eastAsia" w:ascii="仿宋_GB2312" w:eastAsia="仿宋_GB2312" w:hAnsiTheme="minorHAnsi" w:cstheme="minorBidi"/>
          <w:snapToGrid/>
          <w:color w:val="000000"/>
          <w:kern w:val="2"/>
          <w:sz w:val="32"/>
          <w:szCs w:val="24"/>
          <w:lang w:val="en-US" w:eastAsia="zh-CN" w:bidi="ar-SA"/>
          <w14:ligatures w14:val="none"/>
        </w:rPr>
        <w:t>待省局验收；</w:t>
      </w:r>
      <w:r>
        <w:rPr>
          <w:rFonts w:hint="eastAsia" w:ascii="仿宋_GB2312" w:eastAsia="仿宋_GB2312" w:cstheme="minorBidi"/>
          <w:snapToGrid/>
          <w:color w:val="000000"/>
          <w:kern w:val="2"/>
          <w:sz w:val="32"/>
          <w:szCs w:val="24"/>
          <w:lang w:val="en-US" w:eastAsia="zh-CN" w:bidi="ar-SA"/>
          <w14:ligatures w14:val="none"/>
        </w:rPr>
        <w:t>县局推选</w:t>
      </w:r>
      <w:r>
        <w:rPr>
          <w:rFonts w:hint="eastAsia" w:ascii="仿宋_GB2312" w:eastAsia="仿宋_GB2312" w:hAnsiTheme="minorHAnsi" w:cstheme="minorBidi"/>
          <w:snapToGrid/>
          <w:color w:val="000000"/>
          <w:kern w:val="2"/>
          <w:sz w:val="32"/>
          <w:szCs w:val="24"/>
          <w:lang w:val="en-US" w:eastAsia="zh-CN" w:bidi="ar-SA"/>
          <w14:ligatures w14:val="none"/>
        </w:rPr>
        <w:t>4名</w:t>
      </w:r>
      <w:r>
        <w:rPr>
          <w:rFonts w:hint="eastAsia" w:ascii="仿宋_GB2312" w:eastAsia="仿宋_GB2312" w:cstheme="minorBidi"/>
          <w:snapToGrid/>
          <w:color w:val="000000"/>
          <w:kern w:val="2"/>
          <w:sz w:val="32"/>
          <w:szCs w:val="24"/>
          <w:lang w:val="en-US" w:eastAsia="zh-CN" w:bidi="ar-SA"/>
          <w14:ligatures w14:val="none"/>
        </w:rPr>
        <w:t>业务骨干代表市局</w:t>
      </w:r>
      <w:r>
        <w:rPr>
          <w:rFonts w:hint="eastAsia" w:ascii="仿宋_GB2312" w:eastAsia="仿宋_GB2312" w:hAnsiTheme="minorHAnsi" w:cstheme="minorBidi"/>
          <w:snapToGrid/>
          <w:color w:val="000000"/>
          <w:kern w:val="2"/>
          <w:sz w:val="32"/>
          <w:szCs w:val="24"/>
          <w:lang w:val="en-US" w:eastAsia="zh-CN" w:bidi="ar-SA"/>
          <w14:ligatures w14:val="none"/>
        </w:rPr>
        <w:t>参加河南省标准化知识竞赛，</w:t>
      </w:r>
      <w:r>
        <w:rPr>
          <w:rFonts w:hint="eastAsia" w:ascii="仿宋_GB2312" w:eastAsia="仿宋_GB2312" w:cstheme="minorBidi"/>
          <w:snapToGrid/>
          <w:color w:val="000000"/>
          <w:kern w:val="2"/>
          <w:sz w:val="32"/>
          <w:szCs w:val="24"/>
          <w:lang w:val="en-US" w:eastAsia="zh-CN" w:bidi="ar-SA"/>
          <w14:ligatures w14:val="none"/>
        </w:rPr>
        <w:t>荣获</w:t>
      </w:r>
      <w:r>
        <w:rPr>
          <w:rFonts w:hint="eastAsia" w:ascii="仿宋_GB2312" w:eastAsia="仿宋_GB2312" w:hAnsiTheme="minorHAnsi" w:cstheme="minorBidi"/>
          <w:snapToGrid/>
          <w:color w:val="000000"/>
          <w:kern w:val="2"/>
          <w:sz w:val="32"/>
          <w:szCs w:val="24"/>
          <w:lang w:val="en-US" w:eastAsia="zh-CN" w:bidi="ar-SA"/>
          <w14:ligatures w14:val="none"/>
        </w:rPr>
        <w:t>评“知识达人”</w:t>
      </w:r>
      <w:r>
        <w:rPr>
          <w:rFonts w:hint="eastAsia" w:ascii="仿宋_GB2312" w:eastAsia="仿宋_GB2312" w:cstheme="minorBidi"/>
          <w:snapToGrid/>
          <w:color w:val="000000"/>
          <w:kern w:val="2"/>
          <w:sz w:val="32"/>
          <w:szCs w:val="24"/>
          <w:lang w:val="en-US" w:eastAsia="zh-CN" w:bidi="ar-SA"/>
          <w14:ligatures w14:val="none"/>
        </w:rPr>
        <w:t>的称号</w:t>
      </w:r>
      <w:r>
        <w:rPr>
          <w:rFonts w:hint="eastAsia" w:ascii="仿宋_GB2312" w:eastAsia="仿宋_GB2312" w:hAnsiTheme="minorHAnsi" w:cstheme="minorBidi"/>
          <w:snapToGrid/>
          <w:color w:val="000000"/>
          <w:kern w:val="2"/>
          <w:sz w:val="32"/>
          <w:szCs w:val="24"/>
          <w:lang w:val="en-US" w:eastAsia="zh-CN" w:bidi="ar-SA"/>
          <w14:ligatures w14:val="none"/>
        </w:rPr>
        <w:t>。</w:t>
      </w:r>
      <w:r>
        <w:rPr>
          <w:rFonts w:hint="eastAsia" w:ascii="仿宋_GB2312" w:eastAsia="仿宋_GB2312" w:hAnsiTheme="minorHAnsi" w:cstheme="minorBidi"/>
          <w:b/>
          <w:bCs/>
          <w:snapToGrid/>
          <w:color w:val="000000"/>
          <w:kern w:val="2"/>
          <w:sz w:val="32"/>
          <w:szCs w:val="24"/>
          <w:lang w:val="en-US" w:eastAsia="zh-CN" w:bidi="ar-SA"/>
          <w14:ligatures w14:val="none"/>
        </w:rPr>
        <w:t>知识产权保护强化</w:t>
      </w:r>
      <w:r>
        <w:rPr>
          <w:rFonts w:hint="eastAsia" w:ascii="仿宋_GB2312" w:eastAsia="仿宋_GB2312" w:cstheme="minorBidi"/>
          <w:b/>
          <w:bCs/>
          <w:snapToGrid/>
          <w:color w:val="000000"/>
          <w:kern w:val="2"/>
          <w:sz w:val="32"/>
          <w:szCs w:val="24"/>
          <w:lang w:val="en-US" w:eastAsia="zh-CN" w:bidi="ar-SA"/>
          <w14:ligatures w14:val="none"/>
        </w:rPr>
        <w:t>。</w:t>
      </w:r>
      <w:r>
        <w:rPr>
          <w:rFonts w:hint="eastAsia" w:ascii="仿宋_GB2312" w:eastAsia="仿宋_GB2312" w:hAnsiTheme="minorHAnsi" w:cstheme="minorBidi"/>
          <w:snapToGrid/>
          <w:color w:val="000000"/>
          <w:kern w:val="2"/>
          <w:sz w:val="32"/>
          <w:szCs w:val="24"/>
          <w:lang w:val="en-US" w:eastAsia="zh-CN" w:bidi="ar-SA"/>
          <w14:ligatures w14:val="none"/>
        </w:rPr>
        <w:t>推进潢川空心贡面地理标志产品保护示范区建设，拟定2项管理办法草案，与南阳内乡县、荆州经济技术开发区签订跨区域知识产权战略合作协议，加强地理标志产品跨区域保护。开展“知识产权护航行动”，查处商标侵权、假冒专利案件4起，</w:t>
      </w:r>
      <w:r>
        <w:rPr>
          <w:rFonts w:hint="eastAsia" w:ascii="仿宋_GB2312" w:eastAsia="仿宋_GB2312" w:cstheme="minorBidi"/>
          <w:snapToGrid/>
          <w:color w:val="000000"/>
          <w:kern w:val="2"/>
          <w:sz w:val="32"/>
          <w:szCs w:val="24"/>
          <w:lang w:val="en-US" w:eastAsia="zh-CN" w:bidi="ar-SA"/>
          <w14:ligatures w14:val="none"/>
        </w:rPr>
        <w:t>帮助</w:t>
      </w:r>
      <w:r>
        <w:rPr>
          <w:rFonts w:hint="eastAsia" w:ascii="仿宋_GB2312" w:eastAsia="仿宋_GB2312" w:hAnsiTheme="minorHAnsi" w:cstheme="minorBidi"/>
          <w:snapToGrid/>
          <w:color w:val="000000"/>
          <w:kern w:val="2"/>
          <w:sz w:val="32"/>
          <w:szCs w:val="24"/>
          <w:lang w:val="en-US" w:eastAsia="zh-CN" w:bidi="ar-SA"/>
          <w14:ligatures w14:val="none"/>
        </w:rPr>
        <w:t>3家企业获地理标志专用标志使用资格，全年</w:t>
      </w:r>
      <w:r>
        <w:rPr>
          <w:rFonts w:hint="eastAsia" w:ascii="仿宋_GB2312" w:eastAsia="仿宋_GB2312" w:cstheme="minorBidi"/>
          <w:snapToGrid/>
          <w:color w:val="000000"/>
          <w:kern w:val="2"/>
          <w:sz w:val="32"/>
          <w:szCs w:val="24"/>
          <w:lang w:val="en-US" w:eastAsia="zh-CN" w:bidi="ar-SA"/>
          <w14:ligatures w14:val="none"/>
        </w:rPr>
        <w:t>商标有效注册量7571件，新增注册465件；</w:t>
      </w:r>
      <w:r>
        <w:rPr>
          <w:rFonts w:hint="eastAsia" w:ascii="仿宋_GB2312" w:eastAsia="仿宋_GB2312" w:hAnsiTheme="minorHAnsi" w:cstheme="minorBidi"/>
          <w:snapToGrid/>
          <w:color w:val="000000"/>
          <w:kern w:val="2"/>
          <w:sz w:val="32"/>
          <w:szCs w:val="24"/>
          <w:lang w:val="en-US" w:eastAsia="zh-CN" w:bidi="ar-SA"/>
          <w14:ligatures w14:val="none"/>
        </w:rPr>
        <w:t>有效专利</w:t>
      </w:r>
      <w:r>
        <w:rPr>
          <w:rFonts w:hint="eastAsia" w:ascii="仿宋_GB2312" w:eastAsia="仿宋_GB2312" w:cstheme="minorBidi"/>
          <w:snapToGrid/>
          <w:color w:val="000000"/>
          <w:kern w:val="2"/>
          <w:sz w:val="32"/>
          <w:szCs w:val="24"/>
          <w:lang w:val="en-US" w:eastAsia="zh-CN" w:bidi="ar-SA"/>
          <w14:ligatures w14:val="none"/>
        </w:rPr>
        <w:t>974件，新增224件，商标有效注册量和有效专利注册量稳步增长</w:t>
      </w:r>
      <w:r>
        <w:rPr>
          <w:rFonts w:hint="eastAsia" w:ascii="仿宋_GB2312" w:eastAsia="仿宋_GB2312" w:hAnsiTheme="minorHAnsi" w:cstheme="minorBidi"/>
          <w:snapToGrid/>
          <w:color w:val="000000"/>
          <w:kern w:val="2"/>
          <w:sz w:val="32"/>
          <w:szCs w:val="24"/>
          <w:lang w:val="en-US" w:eastAsia="zh-CN" w:bidi="ar-SA"/>
          <w14:ligatures w14:val="none"/>
        </w:rPr>
        <w:t>。</w:t>
      </w:r>
      <w:r>
        <w:rPr>
          <w:rFonts w:hint="eastAsia" w:ascii="仿宋_GB2312" w:eastAsia="仿宋_GB2312" w:hAnsiTheme="minorHAnsi" w:cstheme="minorBidi"/>
          <w:b/>
          <w:bCs/>
          <w:snapToGrid/>
          <w:color w:val="000000"/>
          <w:kern w:val="2"/>
          <w:sz w:val="32"/>
          <w:szCs w:val="24"/>
          <w:lang w:val="en-US" w:eastAsia="zh-CN" w:bidi="ar-SA"/>
          <w14:ligatures w14:val="none"/>
        </w:rPr>
        <w:t>质量基础设施完善</w:t>
      </w:r>
      <w:r>
        <w:rPr>
          <w:rFonts w:hint="eastAsia" w:ascii="仿宋_GB2312" w:eastAsia="仿宋_GB2312" w:cstheme="minorBidi"/>
          <w:b/>
          <w:bCs/>
          <w:snapToGrid/>
          <w:color w:val="000000"/>
          <w:kern w:val="2"/>
          <w:sz w:val="32"/>
          <w:szCs w:val="24"/>
          <w:lang w:val="en-US" w:eastAsia="zh-CN" w:bidi="ar-SA"/>
          <w14:ligatures w14:val="none"/>
        </w:rPr>
        <w:t>。</w:t>
      </w:r>
      <w:r>
        <w:rPr>
          <w:rFonts w:hint="eastAsia" w:ascii="仿宋_GB2312" w:eastAsia="仿宋_GB2312" w:hAnsiTheme="minorHAnsi" w:cstheme="minorBidi"/>
          <w:snapToGrid/>
          <w:color w:val="000000"/>
          <w:kern w:val="2"/>
          <w:sz w:val="32"/>
          <w:szCs w:val="24"/>
          <w:lang w:val="en-US" w:eastAsia="zh-CN" w:bidi="ar-SA"/>
          <w14:ligatures w14:val="none"/>
        </w:rPr>
        <w:t>深化</w:t>
      </w:r>
      <w:r>
        <w:rPr>
          <w:rFonts w:hint="eastAsia" w:ascii="仿宋_GB2312" w:eastAsia="仿宋_GB2312" w:cstheme="minorBidi"/>
          <w:snapToGrid/>
          <w:color w:val="000000"/>
          <w:kern w:val="2"/>
          <w:sz w:val="32"/>
          <w:szCs w:val="24"/>
          <w:lang w:val="en-US" w:eastAsia="zh-CN" w:bidi="ar-SA"/>
          <w14:ligatures w14:val="none"/>
        </w:rPr>
        <w:t>与中检河南公司</w:t>
      </w:r>
      <w:r>
        <w:rPr>
          <w:rFonts w:hint="eastAsia" w:ascii="仿宋_GB2312" w:eastAsia="仿宋_GB2312" w:hAnsiTheme="minorHAnsi" w:cstheme="minorBidi"/>
          <w:snapToGrid/>
          <w:color w:val="000000"/>
          <w:kern w:val="2"/>
          <w:sz w:val="32"/>
          <w:szCs w:val="24"/>
          <w:lang w:val="en-US" w:eastAsia="zh-CN" w:bidi="ar-SA"/>
          <w14:ligatures w14:val="none"/>
        </w:rPr>
        <w:t>合作，为企业提供“家门口”的检验检测服务，</w:t>
      </w:r>
      <w:r>
        <w:rPr>
          <w:rFonts w:hint="eastAsia" w:ascii="仿宋_GB2312" w:eastAsia="仿宋_GB2312" w:hAnsiTheme="minorHAnsi" w:cstheme="minorBidi"/>
          <w:b w:val="0"/>
          <w:bCs w:val="0"/>
          <w:snapToGrid/>
          <w:color w:val="000000"/>
          <w:kern w:val="2"/>
          <w:sz w:val="32"/>
          <w:szCs w:val="24"/>
          <w:lang w:val="en-US" w:eastAsia="zh-CN" w:bidi="ar-SA"/>
          <w14:ligatures w14:val="none"/>
        </w:rPr>
        <w:t>检定加油机30枪次、电子秤206台、压力表若干块</w:t>
      </w:r>
      <w:r>
        <w:rPr>
          <w:rFonts w:hint="eastAsia" w:ascii="仿宋_GB2312" w:eastAsia="仿宋_GB2312" w:hAnsiTheme="minorHAnsi" w:cstheme="minorBidi"/>
          <w:snapToGrid/>
          <w:color w:val="000000"/>
          <w:kern w:val="2"/>
          <w:sz w:val="32"/>
          <w:szCs w:val="24"/>
          <w:lang w:val="en-US" w:eastAsia="zh-CN" w:bidi="ar-SA"/>
          <w14:ligatures w14:val="none"/>
        </w:rPr>
        <w:t>，出具检定证书，确保量值传递准确可靠。加快豫东南公共产品检验检测中心建设，完成主体工程建设相应进度，预计2026年投入使用，进一步提升区域检验检测能力。</w:t>
      </w:r>
    </w:p>
    <w:p w14:paraId="3C367072">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（四）积极开展服务型行政执法</w:t>
      </w:r>
    </w:p>
    <w:p w14:paraId="714147B9">
      <w:pPr>
        <w:spacing w:line="579" w:lineRule="exact"/>
        <w:ind w:firstLine="640" w:firstLineChars="200"/>
        <w:rPr>
          <w:rFonts w:hint="eastAsia" w:ascii="仿宋_GB2312" w:eastAsia="仿宋_GB2312"/>
          <w:color w:val="auto"/>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eastAsia="仿宋_GB2312"/>
          <w:b/>
          <w:bCs/>
          <w:color w:val="auto"/>
          <w:sz w:val="32"/>
          <w:szCs w:val="32"/>
          <w:lang w:eastAsia="zh-CN"/>
        </w:rPr>
        <w:t>秉持柔性执法理念，推进包容审慎监管。</w:t>
      </w:r>
      <w:r>
        <w:rPr>
          <w:rFonts w:hint="eastAsia" w:ascii="仿宋_GB2312" w:eastAsia="仿宋_GB2312"/>
          <w:sz w:val="32"/>
          <w:szCs w:val="32"/>
        </w:rPr>
        <w:t>推行不予处罚、减轻处罚、从轻处罚和免予行政强制的“四张清单”制度，注重前期预警提示，努力让执法监管变得更有“温度”，以“执法温度”激发市场活力，助推全县市场经济高质量健康发展和营商环境更优化。</w:t>
      </w:r>
      <w:r>
        <w:rPr>
          <w:rFonts w:hint="eastAsia" w:ascii="仿宋_GB2312" w:eastAsia="仿宋_GB2312"/>
          <w:color w:val="auto"/>
          <w:sz w:val="32"/>
          <w:szCs w:val="32"/>
          <w:lang w:eastAsia="zh-CN"/>
        </w:rPr>
        <w:t>建立健全“柔性执法”和信用修复机制，采取行政指导、行政告诫、行政约谈等方式，让执法有力度也有温度。202</w:t>
      </w:r>
      <w:r>
        <w:rPr>
          <w:rFonts w:hint="eastAsia" w:ascii="仿宋_GB2312" w:eastAsia="仿宋_GB2312"/>
          <w:color w:val="auto"/>
          <w:sz w:val="32"/>
          <w:szCs w:val="32"/>
          <w:lang w:val="en-US" w:eastAsia="zh-CN"/>
        </w:rPr>
        <w:t>5</w:t>
      </w:r>
      <w:r>
        <w:rPr>
          <w:rFonts w:hint="eastAsia" w:ascii="仿宋_GB2312" w:eastAsia="仿宋_GB2312"/>
          <w:color w:val="auto"/>
          <w:sz w:val="32"/>
          <w:szCs w:val="32"/>
          <w:lang w:eastAsia="zh-CN"/>
        </w:rPr>
        <w:t>年从轻处罚51起、减轻处罚13起、不予处罚14起，实现“处罚与教育相结合”，为企业营造更加宽松的发展环境。</w:t>
      </w:r>
    </w:p>
    <w:p w14:paraId="1E005EB3">
      <w:pPr>
        <w:spacing w:line="579"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2、</w:t>
      </w:r>
      <w:r>
        <w:rPr>
          <w:rFonts w:hint="eastAsia" w:ascii="仿宋_GB2312" w:eastAsia="仿宋_GB2312"/>
          <w:b/>
          <w:bCs/>
          <w:sz w:val="32"/>
          <w:szCs w:val="32"/>
        </w:rPr>
        <w:t>抓好惠企政策落实。</w:t>
      </w:r>
      <w:r>
        <w:rPr>
          <w:rFonts w:hint="eastAsia" w:ascii="仿宋_GB2312" w:eastAsia="仿宋_GB2312"/>
          <w:sz w:val="32"/>
          <w:szCs w:val="32"/>
        </w:rPr>
        <w:t>全面落实《惠企政策和扶持个体工商户发展</w:t>
      </w:r>
      <w:r>
        <w:rPr>
          <w:rFonts w:ascii="仿宋_GB2312" w:eastAsia="仿宋_GB2312"/>
          <w:sz w:val="32"/>
          <w:szCs w:val="32"/>
        </w:rPr>
        <w:t>10条措施》，</w:t>
      </w:r>
      <w:r>
        <w:rPr>
          <w:rFonts w:hint="eastAsia" w:ascii="仿宋_GB2312" w:eastAsia="仿宋_GB2312"/>
          <w:sz w:val="32"/>
          <w:szCs w:val="32"/>
        </w:rPr>
        <w:t>持续推进万人助万企和首席服务官活动，结合职能职责，在前期制定推行助企纾困解难十项措施的基础上，开通助企纾困绿色通道，推行急事预约办、急件集中办、到期延期办等服务，解决企业发展过程中的“急难愁盼”问题；开展涉企收费项目清查，持续加强涉企违规收费专项整治，切实减轻市场主体的不合理负担</w:t>
      </w:r>
      <w:r>
        <w:rPr>
          <w:rFonts w:hint="eastAsia" w:ascii="仿宋_GB2312" w:eastAsia="仿宋_GB2312"/>
          <w:sz w:val="32"/>
          <w:szCs w:val="32"/>
          <w:lang w:eastAsia="zh-CN"/>
        </w:rPr>
        <w:t>，</w:t>
      </w:r>
      <w:r>
        <w:rPr>
          <w:rFonts w:hint="eastAsia" w:ascii="仿宋_GB2312" w:eastAsia="仿宋_GB2312"/>
          <w:sz w:val="32"/>
          <w:szCs w:val="32"/>
        </w:rPr>
        <w:t>目前已查办涉企案件13件。</w:t>
      </w:r>
    </w:p>
    <w:p w14:paraId="59A11AF0">
      <w:pPr>
        <w:spacing w:line="579" w:lineRule="exact"/>
        <w:ind w:firstLine="643" w:firstLineChars="200"/>
        <w:rPr>
          <w:rFonts w:hint="eastAsia" w:ascii="仿宋_GB2312" w:eastAsia="仿宋_GB2312" w:hAnsiTheme="minorHAnsi" w:cstheme="minorBidi"/>
          <w:snapToGrid/>
          <w:color w:val="000000"/>
          <w:kern w:val="2"/>
          <w:sz w:val="32"/>
          <w:szCs w:val="24"/>
          <w:lang w:val="en-US" w:eastAsia="zh-CN" w:bidi="ar-SA"/>
          <w14:ligatures w14:val="none"/>
        </w:rPr>
      </w:pPr>
      <w:r>
        <w:rPr>
          <w:rFonts w:hint="eastAsia" w:ascii="仿宋_GB2312" w:eastAsia="仿宋_GB2312"/>
          <w:b/>
          <w:bCs/>
          <w:sz w:val="32"/>
          <w:szCs w:val="32"/>
          <w:lang w:val="en-US" w:eastAsia="zh-CN"/>
        </w:rPr>
        <w:t>3</w:t>
      </w:r>
      <w:r>
        <w:rPr>
          <w:rFonts w:hint="eastAsia" w:ascii="仿宋_GB2312" w:eastAsia="仿宋_GB2312"/>
          <w:b/>
          <w:bCs/>
          <w:sz w:val="32"/>
          <w:szCs w:val="32"/>
          <w:lang w:eastAsia="zh-CN"/>
        </w:rPr>
        <w:t>、强化市场公平竞争审查。</w:t>
      </w:r>
      <w:r>
        <w:rPr>
          <w:rFonts w:hint="eastAsia" w:ascii="仿宋_GB2312" w:eastAsia="仿宋_GB2312" w:hAnsiTheme="minorHAnsi" w:cstheme="minorBidi"/>
          <w:snapToGrid/>
          <w:color w:val="000000"/>
          <w:kern w:val="2"/>
          <w:sz w:val="32"/>
          <w:szCs w:val="24"/>
          <w:lang w:val="en-US" w:eastAsia="zh-CN" w:bidi="ar-SA"/>
          <w14:ligatures w14:val="none"/>
        </w:rPr>
        <w:t>落实《公平竞争审查条例》，联合信阳师范大学完成全县相关政策文件公平竞争审查，纠正不符合公平竞争要求的政策措施。建立“公平竞争审查会商机制”，与发改、住建等部门协同开展公用事业领域垄断行为排查，规范供水、供气等行业经营行为，维护市场公平竞争秩序。</w:t>
      </w:r>
    </w:p>
    <w:p w14:paraId="0F4F55AD">
      <w:pPr>
        <w:spacing w:line="579" w:lineRule="exact"/>
        <w:ind w:firstLine="643" w:firstLineChars="200"/>
        <w:rPr>
          <w:rFonts w:hint="eastAsia" w:ascii="仿宋_GB2312" w:eastAsia="仿宋_GB2312"/>
          <w:sz w:val="32"/>
          <w:szCs w:val="32"/>
          <w:lang w:val="en-US" w:eastAsia="zh-CN"/>
        </w:rPr>
      </w:pPr>
      <w:r>
        <w:rPr>
          <w:rFonts w:hint="eastAsia" w:ascii="仿宋_GB2312" w:eastAsia="仿宋_GB2312"/>
          <w:b/>
          <w:bCs/>
          <w:sz w:val="32"/>
          <w:szCs w:val="32"/>
          <w:lang w:val="en-US" w:eastAsia="zh-CN"/>
        </w:rPr>
        <w:t>4</w:t>
      </w:r>
      <w:r>
        <w:rPr>
          <w:rFonts w:hint="eastAsia" w:ascii="仿宋_GB2312" w:eastAsia="仿宋_GB2312"/>
          <w:b/>
          <w:bCs/>
          <w:sz w:val="32"/>
          <w:szCs w:val="32"/>
          <w:lang w:eastAsia="zh-CN"/>
        </w:rPr>
        <w:t>、</w:t>
      </w:r>
      <w:r>
        <w:rPr>
          <w:rFonts w:hint="eastAsia" w:ascii="仿宋_GB2312" w:eastAsia="仿宋_GB2312"/>
          <w:b/>
          <w:bCs/>
          <w:sz w:val="32"/>
          <w:szCs w:val="32"/>
        </w:rPr>
        <w:t>创建放心满意消费环境。</w:t>
      </w:r>
      <w:r>
        <w:rPr>
          <w:rFonts w:hint="eastAsia" w:ascii="仿宋_GB2312" w:eastAsia="仿宋_GB2312"/>
          <w:sz w:val="32"/>
          <w:szCs w:val="32"/>
        </w:rPr>
        <w:t>深化放心消费环境创建，深入开展多载体消费教育和引导工作，</w:t>
      </w:r>
      <w:r>
        <w:rPr>
          <w:rFonts w:hint="eastAsia" w:ascii="仿宋_GB2312" w:eastAsia="仿宋_GB2312" w:hAnsiTheme="minorHAnsi" w:cstheme="minorBidi"/>
          <w:snapToGrid/>
          <w:color w:val="000000"/>
          <w:kern w:val="2"/>
          <w:sz w:val="32"/>
          <w:szCs w:val="24"/>
          <w:lang w:val="en-US" w:eastAsia="zh-CN" w:bidi="ar-SA"/>
          <w14:ligatures w14:val="none"/>
        </w:rPr>
        <w:t>组织“3・15”大型宣传活动，40余家单位及企业参与，发放宣传资料1000余份，普及消费维权知识。健全投诉举报处置机制，全年接收</w:t>
      </w:r>
      <w:r>
        <w:rPr>
          <w:rFonts w:hint="eastAsia" w:ascii="仿宋_GB2312" w:eastAsia="仿宋_GB2312" w:cstheme="minorBidi"/>
          <w:snapToGrid/>
          <w:color w:val="000000"/>
          <w:kern w:val="2"/>
          <w:sz w:val="32"/>
          <w:szCs w:val="24"/>
          <w:lang w:val="en-US" w:eastAsia="zh-CN" w:bidi="ar-SA"/>
          <w14:ligatures w14:val="none"/>
        </w:rPr>
        <w:t>2570</w:t>
      </w:r>
      <w:r>
        <w:rPr>
          <w:rFonts w:hint="eastAsia" w:ascii="仿宋_GB2312" w:eastAsia="仿宋_GB2312" w:hAnsiTheme="minorHAnsi" w:cstheme="minorBidi"/>
          <w:snapToGrid/>
          <w:color w:val="000000"/>
          <w:kern w:val="2"/>
          <w:sz w:val="32"/>
          <w:szCs w:val="24"/>
          <w:lang w:val="en-US" w:eastAsia="zh-CN" w:bidi="ar-SA"/>
          <w14:ligatures w14:val="none"/>
        </w:rPr>
        <w:t>起投诉举报，其中12315平台1448起、</w:t>
      </w:r>
      <w:r>
        <w:rPr>
          <w:rFonts w:hint="eastAsia" w:ascii="仿宋_GB2312" w:eastAsia="仿宋_GB2312" w:cstheme="minorBidi"/>
          <w:snapToGrid/>
          <w:color w:val="000000"/>
          <w:kern w:val="2"/>
          <w:sz w:val="32"/>
          <w:szCs w:val="24"/>
          <w:lang w:val="en-US" w:eastAsia="zh-CN" w:bidi="ar-SA"/>
          <w14:ligatures w14:val="none"/>
        </w:rPr>
        <w:t>12345平台728起，</w:t>
      </w:r>
      <w:r>
        <w:rPr>
          <w:rFonts w:hint="eastAsia" w:ascii="仿宋_GB2312" w:eastAsia="仿宋_GB2312" w:hAnsiTheme="minorHAnsi" w:cstheme="minorBidi"/>
          <w:snapToGrid/>
          <w:color w:val="000000"/>
          <w:kern w:val="2"/>
          <w:sz w:val="32"/>
          <w:szCs w:val="24"/>
          <w:lang w:val="en-US" w:eastAsia="zh-CN" w:bidi="ar-SA"/>
          <w14:ligatures w14:val="none"/>
        </w:rPr>
        <w:t>信访转办31起、信函363 起，按时初查率、办结率均为100%，</w:t>
      </w:r>
      <w:r>
        <w:rPr>
          <w:rFonts w:hint="eastAsia" w:ascii="仿宋_GB2312" w:eastAsia="仿宋_GB2312"/>
          <w:sz w:val="32"/>
          <w:szCs w:val="32"/>
          <w:lang w:eastAsia="zh-CN"/>
        </w:rPr>
        <w:t>投诉信息公示率</w:t>
      </w:r>
      <w:r>
        <w:rPr>
          <w:rFonts w:hint="eastAsia" w:ascii="仿宋_GB2312" w:eastAsia="仿宋_GB2312"/>
          <w:sz w:val="32"/>
          <w:szCs w:val="32"/>
          <w:lang w:val="en-US" w:eastAsia="zh-CN"/>
        </w:rPr>
        <w:t>99.57%，</w:t>
      </w:r>
      <w:r>
        <w:rPr>
          <w:rFonts w:hint="eastAsia" w:ascii="仿宋_GB2312" w:eastAsia="仿宋_GB2312" w:hAnsiTheme="minorHAnsi" w:cstheme="minorBidi"/>
          <w:snapToGrid/>
          <w:color w:val="000000"/>
          <w:kern w:val="2"/>
          <w:sz w:val="32"/>
          <w:szCs w:val="24"/>
          <w:lang w:val="en-US" w:eastAsia="zh-CN" w:bidi="ar-SA"/>
          <w14:ligatures w14:val="none"/>
        </w:rPr>
        <w:t>调解成功率63.58%</w:t>
      </w:r>
      <w:r>
        <w:rPr>
          <w:rFonts w:hint="eastAsia" w:ascii="仿宋_GB2312" w:eastAsia="仿宋_GB2312" w:cstheme="minorBidi"/>
          <w:snapToGrid/>
          <w:color w:val="000000"/>
          <w:kern w:val="2"/>
          <w:sz w:val="32"/>
          <w:szCs w:val="24"/>
          <w:lang w:val="en-US" w:eastAsia="zh-CN" w:bidi="ar-SA"/>
          <w14:ligatures w14:val="none"/>
        </w:rPr>
        <w:t>，</w:t>
      </w:r>
      <w:r>
        <w:rPr>
          <w:rFonts w:hint="eastAsia" w:ascii="仿宋_GB2312" w:eastAsia="仿宋_GB2312" w:hAnsiTheme="minorHAnsi" w:cstheme="minorBidi"/>
          <w:snapToGrid/>
          <w:color w:val="000000"/>
          <w:kern w:val="2"/>
          <w:sz w:val="32"/>
          <w:szCs w:val="24"/>
          <w:lang w:val="en-US" w:eastAsia="zh-CN" w:bidi="ar-SA"/>
          <w14:ligatures w14:val="none"/>
        </w:rPr>
        <w:t>为消费者挽回经济损失</w:t>
      </w:r>
      <w:r>
        <w:rPr>
          <w:rFonts w:hint="eastAsia" w:ascii="仿宋_GB2312" w:eastAsia="仿宋_GB2312" w:cstheme="minorBidi"/>
          <w:snapToGrid/>
          <w:color w:val="000000"/>
          <w:kern w:val="2"/>
          <w:sz w:val="32"/>
          <w:szCs w:val="24"/>
          <w:lang w:val="en-US" w:eastAsia="zh-CN" w:bidi="ar-SA"/>
          <w14:ligatures w14:val="none"/>
        </w:rPr>
        <w:t>6.42</w:t>
      </w:r>
      <w:r>
        <w:rPr>
          <w:rFonts w:hint="eastAsia" w:ascii="仿宋_GB2312" w:eastAsia="仿宋_GB2312" w:hAnsiTheme="minorHAnsi" w:cstheme="minorBidi"/>
          <w:snapToGrid/>
          <w:color w:val="000000"/>
          <w:kern w:val="2"/>
          <w:sz w:val="32"/>
          <w:szCs w:val="24"/>
          <w:lang w:val="en-US" w:eastAsia="zh-CN" w:bidi="ar-SA"/>
          <w14:ligatures w14:val="none"/>
        </w:rPr>
        <w:t>万元。</w:t>
      </w:r>
    </w:p>
    <w:p w14:paraId="144635CE">
      <w:pPr>
        <w:keepNext w:val="0"/>
        <w:keepLines w:val="0"/>
        <w:pageBreakBefore w:val="0"/>
        <w:kinsoku/>
        <w:wordWrap/>
        <w:overflowPunct/>
        <w:topLinePunct w:val="0"/>
        <w:autoSpaceDE/>
        <w:autoSpaceDN/>
        <w:bidi w:val="0"/>
        <w:adjustRightInd/>
        <w:snapToGrid/>
        <w:spacing w:line="560" w:lineRule="exact"/>
        <w:ind w:firstLine="321" w:firstLineChars="1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）落实“谁执法、谁普法”责任制</w:t>
      </w:r>
    </w:p>
    <w:p w14:paraId="4116C99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制定年度普法计划和责任清单，开展普法活动。</w:t>
      </w:r>
      <w:r>
        <w:rPr>
          <w:rFonts w:hint="eastAsia" w:ascii="仿宋_GB2312" w:hAnsi="仿宋_GB2312" w:eastAsia="仿宋_GB2312" w:cs="仿宋_GB2312"/>
          <w:sz w:val="32"/>
          <w:szCs w:val="32"/>
        </w:rPr>
        <w:t>年初我局按照“谁执法、谁普法”的普法责任制要求制定了《</w:t>
      </w:r>
      <w:r>
        <w:rPr>
          <w:rFonts w:hint="eastAsia" w:ascii="仿宋_GB2312" w:hAnsi="仿宋_GB2312" w:eastAsia="仿宋_GB2312" w:cs="仿宋_GB2312"/>
          <w:sz w:val="32"/>
          <w:szCs w:val="32"/>
          <w:lang w:eastAsia="zh-CN"/>
        </w:rPr>
        <w:t>潢川县</w:t>
      </w:r>
      <w:r>
        <w:rPr>
          <w:rFonts w:hint="eastAsia" w:ascii="仿宋_GB2312" w:hAnsi="仿宋_GB2312" w:eastAsia="仿宋_GB2312" w:cs="仿宋_GB2312"/>
          <w:sz w:val="32"/>
          <w:szCs w:val="32"/>
        </w:rPr>
        <w:t>市场监督管理局202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年度普法工作计划》，制定年度法治宣传工作计划、普法责任制清单，确立了较为完备的普法工作制度，明确了各科室、各市场监管所法治宣传教育职责，确保全局法治宣传教育各项工作任务有序推动。</w:t>
      </w:r>
      <w:r>
        <w:rPr>
          <w:rFonts w:hint="eastAsia" w:ascii="仿宋_GB2312" w:hAnsi="仿宋_GB2312" w:eastAsia="仿宋_GB2312" w:cs="仿宋_GB2312"/>
          <w:sz w:val="32"/>
          <w:szCs w:val="32"/>
          <w:lang w:val="en-US" w:eastAsia="zh-CN"/>
        </w:rPr>
        <w:t xml:space="preserve"> </w:t>
      </w:r>
    </w:p>
    <w:p w14:paraId="7F1E3A9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深入实施八五普法规划，为干部职工和监管对象进行各项专业知识培训。</w:t>
      </w:r>
      <w:r>
        <w:rPr>
          <w:rFonts w:hint="eastAsia" w:ascii="仿宋_GB2312" w:hAnsi="仿宋_GB2312" w:eastAsia="仿宋_GB2312" w:cs="仿宋_GB2312"/>
          <w:sz w:val="32"/>
          <w:szCs w:val="32"/>
        </w:rPr>
        <w:t>涵盖商事制度改革，食品、药品、特种设备、医疗器械、</w:t>
      </w:r>
      <w:r>
        <w:rPr>
          <w:rFonts w:hint="eastAsia" w:ascii="仿宋_GB2312" w:hAnsi="仿宋_GB2312" w:eastAsia="仿宋_GB2312" w:cs="仿宋_GB2312"/>
          <w:sz w:val="32"/>
          <w:szCs w:val="32"/>
          <w:lang w:eastAsia="zh-CN"/>
        </w:rPr>
        <w:t>产品质量、认证认可、</w:t>
      </w:r>
      <w:r>
        <w:rPr>
          <w:rFonts w:hint="eastAsia" w:ascii="仿宋_GB2312" w:hAnsi="仿宋_GB2312" w:eastAsia="仿宋_GB2312" w:cs="仿宋_GB2312"/>
          <w:sz w:val="32"/>
          <w:szCs w:val="32"/>
        </w:rPr>
        <w:t>化妆品监督管理等专业知识。202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年学法普法考试合格率100%。通过多种形式学习培训丰富了广大干部的知识素养，提升了干部职工的政策业务水平和履行岗位职责能力。</w:t>
      </w:r>
    </w:p>
    <w:p w14:paraId="0A6F4007">
      <w:pPr>
        <w:keepNext w:val="0"/>
        <w:keepLines w:val="0"/>
        <w:pageBreakBefore w:val="0"/>
        <w:widowControl w:val="0"/>
        <w:numPr>
          <w:ilvl w:val="0"/>
          <w:numId w:val="0"/>
        </w:numPr>
        <w:kinsoku/>
        <w:wordWrap/>
        <w:overflowPunct/>
        <w:topLinePunct/>
        <w:autoSpaceDE/>
        <w:autoSpaceDN/>
        <w:bidi w:val="0"/>
        <w:adjustRightInd/>
        <w:snapToGrid/>
        <w:spacing w:line="500" w:lineRule="exact"/>
        <w:ind w:firstLine="643" w:firstLineChars="200"/>
        <w:jc w:val="both"/>
        <w:textAlignment w:val="auto"/>
        <w:rPr>
          <w:rFonts w:hint="eastAsia" w:ascii="仿宋_GB2312" w:eastAsia="仿宋_GB2312" w:hAnsiTheme="minorHAnsi" w:cstheme="minorBidi"/>
          <w:snapToGrid/>
          <w:color w:val="000000"/>
          <w:kern w:val="2"/>
          <w:sz w:val="32"/>
          <w:szCs w:val="24"/>
          <w:lang w:val="en-US" w:eastAsia="zh-CN" w:bidi="ar-SA"/>
          <w14:ligatures w14:val="none"/>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加强法治宣教、法治实践和执法培训。</w:t>
      </w:r>
      <w:r>
        <w:rPr>
          <w:rFonts w:hint="eastAsia" w:ascii="仿宋_GB2312" w:hAnsi="仿宋_GB2312" w:eastAsia="仿宋_GB2312" w:cs="仿宋_GB2312"/>
          <w:sz w:val="32"/>
          <w:szCs w:val="32"/>
        </w:rPr>
        <w:t>开展以案释法，结合“3·15国际消费者权益日”“5·20世界计量日”“6·7世界食品安全日”“全国食品安全宣传周”“全国质量月”“电梯安全宣传周”等重要时间节点，</w:t>
      </w:r>
      <w:r>
        <w:rPr>
          <w:rFonts w:hint="eastAsia" w:ascii="仿宋_GB2312" w:eastAsia="仿宋_GB2312" w:hAnsiTheme="minorHAnsi" w:cstheme="minorBidi"/>
          <w:snapToGrid/>
          <w:color w:val="000000"/>
          <w:kern w:val="2"/>
          <w:sz w:val="32"/>
          <w:szCs w:val="24"/>
          <w:lang w:val="en-US" w:eastAsia="zh-CN" w:bidi="ar-SA"/>
          <w14:ligatures w14:val="none"/>
        </w:rPr>
        <w:t>围绕食品安全宣传周、药品安全宣传周、3・15 消费者权益日等节点，开展集中宣传活动，通过线上公众号推送科普知识、线下发放资料、现场咨询等方式，覆盖群众超万人次，提升公众安全意识和维权能力。</w:t>
      </w:r>
    </w:p>
    <w:p w14:paraId="1AC0961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w:t>
      </w:r>
      <w:r>
        <w:rPr>
          <w:rFonts w:hint="eastAsia" w:ascii="黑体" w:hAnsi="黑体" w:eastAsia="黑体" w:cs="黑体"/>
          <w:b/>
          <w:bCs/>
          <w:sz w:val="32"/>
          <w:szCs w:val="32"/>
        </w:rPr>
        <w:t>、存在的问题</w:t>
      </w:r>
      <w:r>
        <w:rPr>
          <w:rFonts w:hint="eastAsia" w:ascii="黑体" w:hAnsi="黑体" w:eastAsia="黑体" w:cs="黑体"/>
          <w:b/>
          <w:bCs/>
          <w:sz w:val="32"/>
          <w:szCs w:val="32"/>
          <w:lang w:eastAsia="zh-CN"/>
        </w:rPr>
        <w:t>和原因</w:t>
      </w:r>
    </w:p>
    <w:p w14:paraId="5E9E6EE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（一）存在问题</w:t>
      </w:r>
    </w:p>
    <w:p w14:paraId="7441B7E6">
      <w:pPr>
        <w:keepNext w:val="0"/>
        <w:keepLines w:val="0"/>
        <w:pageBreakBefore w:val="0"/>
        <w:widowControl w:val="0"/>
        <w:numPr>
          <w:ilvl w:val="0"/>
          <w:numId w:val="0"/>
        </w:numPr>
        <w:kinsoku/>
        <w:wordWrap/>
        <w:overflowPunct/>
        <w:topLinePunct/>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24"/>
          <w:lang w:val="en-US" w:eastAsia="zh-CN" w:bidi="ar-SA"/>
          <w14:ligatures w14:val="none"/>
        </w:rPr>
      </w:pPr>
      <w:r>
        <w:rPr>
          <w:rFonts w:hint="eastAsia" w:ascii="仿宋_GB2312" w:hAnsi="仿宋_GB2312" w:eastAsia="仿宋_GB2312" w:cs="仿宋_GB2312"/>
          <w:b w:val="0"/>
          <w:bCs w:val="0"/>
          <w:snapToGrid/>
          <w:color w:val="000000"/>
          <w:kern w:val="2"/>
          <w:sz w:val="32"/>
          <w:szCs w:val="24"/>
          <w:lang w:val="en-US" w:eastAsia="zh-CN" w:bidi="ar-SA"/>
          <w14:ligatures w14:val="none"/>
        </w:rPr>
        <w:t>1、</w:t>
      </w:r>
      <w:r>
        <w:rPr>
          <w:rFonts w:hint="eastAsia" w:ascii="仿宋_GB2312" w:hAnsi="仿宋_GB2312" w:eastAsia="仿宋_GB2312" w:cs="仿宋_GB2312"/>
          <w:snapToGrid/>
          <w:color w:val="000000"/>
          <w:kern w:val="2"/>
          <w:sz w:val="32"/>
          <w:szCs w:val="24"/>
          <w:lang w:val="en-US" w:eastAsia="zh-CN" w:bidi="ar-SA"/>
          <w14:ligatures w14:val="none"/>
        </w:rPr>
        <w:t>基层专业执法能力不足，特种设备、药械等领域技术要求高，基层执法人员知识更新不及时，专业人才缺口较大，检验检测能力难以满足实际需求。</w:t>
      </w:r>
    </w:p>
    <w:p w14:paraId="55720080">
      <w:pPr>
        <w:keepNext w:val="0"/>
        <w:keepLines w:val="0"/>
        <w:pageBreakBefore w:val="0"/>
        <w:widowControl w:val="0"/>
        <w:numPr>
          <w:ilvl w:val="0"/>
          <w:numId w:val="0"/>
        </w:numPr>
        <w:kinsoku/>
        <w:wordWrap/>
        <w:overflowPunct/>
        <w:topLinePunct/>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24"/>
          <w:lang w:val="en-US" w:eastAsia="zh-CN" w:bidi="ar-SA"/>
          <w14:ligatures w14:val="none"/>
        </w:rPr>
      </w:pPr>
      <w:r>
        <w:rPr>
          <w:rFonts w:hint="eastAsia" w:ascii="仿宋_GB2312" w:hAnsi="仿宋_GB2312" w:eastAsia="仿宋_GB2312" w:cs="仿宋_GB2312"/>
          <w:b w:val="0"/>
          <w:bCs w:val="0"/>
          <w:snapToGrid/>
          <w:color w:val="000000"/>
          <w:kern w:val="2"/>
          <w:sz w:val="32"/>
          <w:szCs w:val="24"/>
          <w:lang w:val="en-US" w:eastAsia="zh-CN" w:bidi="ar-SA"/>
          <w14:ligatures w14:val="none"/>
        </w:rPr>
        <w:t>2、</w:t>
      </w:r>
      <w:r>
        <w:rPr>
          <w:rFonts w:hint="eastAsia" w:ascii="仿宋_GB2312" w:hAnsi="仿宋_GB2312" w:eastAsia="仿宋_GB2312" w:cs="仿宋_GB2312"/>
          <w:snapToGrid/>
          <w:color w:val="000000"/>
          <w:kern w:val="2"/>
          <w:sz w:val="32"/>
          <w:szCs w:val="24"/>
          <w:lang w:val="en-US" w:eastAsia="zh-CN" w:bidi="ar-SA"/>
          <w14:ligatures w14:val="none"/>
        </w:rPr>
        <w:t>监管覆盖与风险总量不匹配，市场主体数量持续增长，直播电商等新业态不断涌现，网络交易、小作坊等领域监管深度不足，数据互通共享不够，监管“滞后性”凸显。</w:t>
      </w:r>
    </w:p>
    <w:p w14:paraId="1FA2C50D">
      <w:pPr>
        <w:keepNext w:val="0"/>
        <w:keepLines w:val="0"/>
        <w:pageBreakBefore w:val="0"/>
        <w:widowControl w:val="0"/>
        <w:numPr>
          <w:ilvl w:val="0"/>
          <w:numId w:val="0"/>
        </w:numPr>
        <w:kinsoku/>
        <w:wordWrap/>
        <w:overflowPunct/>
        <w:topLinePunct/>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24"/>
          <w:lang w:val="en-US" w:eastAsia="zh-CN" w:bidi="ar-SA"/>
          <w14:ligatures w14:val="none"/>
        </w:rPr>
      </w:pPr>
      <w:r>
        <w:rPr>
          <w:rFonts w:hint="eastAsia" w:ascii="仿宋_GB2312" w:hAnsi="仿宋_GB2312" w:eastAsia="仿宋_GB2312" w:cs="仿宋_GB2312"/>
          <w:b w:val="0"/>
          <w:bCs w:val="0"/>
          <w:snapToGrid/>
          <w:color w:val="000000"/>
          <w:kern w:val="2"/>
          <w:sz w:val="32"/>
          <w:szCs w:val="24"/>
          <w:lang w:val="en-US" w:eastAsia="zh-CN" w:bidi="ar-SA"/>
          <w14:ligatures w14:val="none"/>
        </w:rPr>
        <w:t>3、</w:t>
      </w:r>
      <w:r>
        <w:rPr>
          <w:rFonts w:hint="eastAsia" w:ascii="仿宋_GB2312" w:hAnsi="仿宋_GB2312" w:eastAsia="仿宋_GB2312" w:cs="仿宋_GB2312"/>
          <w:snapToGrid/>
          <w:color w:val="000000"/>
          <w:kern w:val="2"/>
          <w:sz w:val="32"/>
          <w:szCs w:val="24"/>
          <w:lang w:val="en-US" w:eastAsia="zh-CN" w:bidi="ar-SA"/>
          <w14:ligatures w14:val="none"/>
        </w:rPr>
        <w:t xml:space="preserve">部分企业主体责任落实不均衡，特种设备领域部分中小企业存在“重效益、轻安全”现象，设备超期未检、人员无证操作等问题偶有发生；老旧小区电梯老化严重，维修改造难度大。   </w:t>
      </w:r>
    </w:p>
    <w:p w14:paraId="3DAA8AA6">
      <w:pPr>
        <w:keepNext w:val="0"/>
        <w:keepLines w:val="0"/>
        <w:pageBreakBefore w:val="0"/>
        <w:widowControl w:val="0"/>
        <w:numPr>
          <w:ilvl w:val="0"/>
          <w:numId w:val="0"/>
        </w:numPr>
        <w:kinsoku/>
        <w:wordWrap/>
        <w:overflowPunct/>
        <w:topLinePunct/>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24"/>
          <w:lang w:val="en-US" w:eastAsia="zh-CN" w:bidi="ar-SA"/>
          <w14:ligatures w14:val="none"/>
        </w:rPr>
      </w:pPr>
      <w:r>
        <w:rPr>
          <w:rFonts w:hint="eastAsia" w:ascii="仿宋_GB2312" w:hAnsi="仿宋_GB2312" w:eastAsia="仿宋_GB2312" w:cs="仿宋_GB2312"/>
          <w:b w:val="0"/>
          <w:bCs w:val="0"/>
          <w:snapToGrid/>
          <w:color w:val="000000"/>
          <w:kern w:val="2"/>
          <w:sz w:val="32"/>
          <w:szCs w:val="24"/>
          <w:lang w:val="en-US" w:eastAsia="zh-CN" w:bidi="ar-SA"/>
          <w14:ligatures w14:val="none"/>
        </w:rPr>
        <w:t>4、</w:t>
      </w:r>
      <w:r>
        <w:rPr>
          <w:rFonts w:hint="eastAsia" w:ascii="仿宋_GB2312" w:hAnsi="仿宋_GB2312" w:eastAsia="仿宋_GB2312" w:cs="仿宋_GB2312"/>
          <w:snapToGrid/>
          <w:color w:val="000000"/>
          <w:kern w:val="2"/>
          <w:sz w:val="32"/>
          <w:szCs w:val="24"/>
          <w:lang w:val="en-US" w:eastAsia="zh-CN" w:bidi="ar-SA"/>
          <w14:ligatures w14:val="none"/>
        </w:rPr>
        <w:t>服务型执法落地有偏差，“柔性执法”“事前预警”的尺度把握、标准统一及效果评估机制不健全，部分基层单位执行标准不一致，“过罚相当”定性缺乏统一指引。</w:t>
      </w:r>
    </w:p>
    <w:p w14:paraId="48E872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bCs/>
          <w:sz w:val="32"/>
          <w:szCs w:val="32"/>
          <w:lang w:eastAsia="zh-CN"/>
        </w:rPr>
      </w:pPr>
      <w:r>
        <w:rPr>
          <w:rFonts w:hint="eastAsia" w:ascii="楷体" w:hAnsi="楷体" w:eastAsia="楷体" w:cs="楷体"/>
          <w:sz w:val="32"/>
          <w:szCs w:val="32"/>
          <w:lang w:eastAsia="zh-CN"/>
        </w:rPr>
        <w:t>（二）</w:t>
      </w:r>
      <w:r>
        <w:rPr>
          <w:rFonts w:hint="eastAsia" w:ascii="楷体" w:hAnsi="楷体" w:eastAsia="楷体" w:cs="楷体"/>
          <w:b/>
          <w:bCs/>
          <w:sz w:val="32"/>
          <w:szCs w:val="32"/>
          <w:lang w:eastAsia="zh-CN"/>
        </w:rPr>
        <w:t>原因分析</w:t>
      </w:r>
    </w:p>
    <w:p w14:paraId="7E9941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bCs/>
          <w:sz w:val="32"/>
          <w:szCs w:val="32"/>
          <w:lang w:val="en-US" w:eastAsia="zh-CN"/>
        </w:rPr>
        <w:t>基层法治基础不扎实、能力不适应</w:t>
      </w:r>
      <w:r>
        <w:rPr>
          <w:rFonts w:hint="eastAsia" w:ascii="仿宋_GB2312" w:hAnsi="仿宋_GB2312" w:eastAsia="仿宋_GB2312" w:cs="仿宋_GB2312"/>
          <w:sz w:val="32"/>
          <w:szCs w:val="32"/>
          <w:lang w:val="en-US" w:eastAsia="zh-CN"/>
        </w:rPr>
        <w:t>，监管队伍的业务水平和综合素质有待提升，尤其是基层监管所工作人员较少，执法力量严重不足，市场监管领域难以做到全覆盖、无盲区。</w:t>
      </w:r>
    </w:p>
    <w:p w14:paraId="6BF5BA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bCs/>
          <w:sz w:val="32"/>
          <w:szCs w:val="32"/>
          <w:lang w:eastAsia="zh-CN"/>
        </w:rPr>
        <w:t>监管执法业务能力不高。</w:t>
      </w:r>
      <w:r>
        <w:rPr>
          <w:rFonts w:hint="eastAsia" w:ascii="仿宋_GB2312" w:hAnsi="仿宋_GB2312" w:eastAsia="仿宋_GB2312" w:cs="仿宋_GB2312"/>
          <w:sz w:val="32"/>
          <w:szCs w:val="32"/>
          <w:lang w:eastAsia="zh-CN"/>
        </w:rPr>
        <w:t>全县市场监管部门监管人员业务能力与新形势要求还有差距，特别是全县经济社会发展需求同市场监管服务与监管能力不平衡的矛盾日趋明显，亟待充实监管队伍力量和强化监管能力建设，进一步提升部门法治建设能力和水平。</w:t>
      </w:r>
    </w:p>
    <w:p w14:paraId="7615B56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下一年度推进法治建设的打算</w:t>
      </w:r>
    </w:p>
    <w:p w14:paraId="20FA622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val="en-US" w:eastAsia="zh-CN"/>
        </w:rPr>
        <w:t>（一）提升政治站位。</w:t>
      </w:r>
      <w:r>
        <w:rPr>
          <w:rFonts w:hint="eastAsia" w:ascii="仿宋_GB2312" w:hAnsi="仿宋_GB2312" w:eastAsia="仿宋_GB2312" w:cs="仿宋_GB2312"/>
          <w:sz w:val="32"/>
          <w:szCs w:val="32"/>
          <w:lang w:val="en-US" w:eastAsia="zh-CN"/>
        </w:rPr>
        <w:t>在深入学习宣传贯彻习近平法治思想上持续加力。把习近平法治思想贯穿到法治政府建设全过程，不断推动市场监管法治政府建设实现新突破。充分发挥党组理论学习中心组常态化学习习近平法治思想，使“关键少数”“关键岗位”“关键领域”的领导干部和工作人员切实把握习近平法治思想的丰富内涵与核心要义。</w:t>
      </w:r>
    </w:p>
    <w:p w14:paraId="7034299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楷体" w:hAnsi="楷体" w:eastAsia="楷体" w:cs="楷体"/>
          <w:b/>
          <w:bCs/>
          <w:sz w:val="32"/>
          <w:szCs w:val="32"/>
          <w:lang w:val="en-US" w:eastAsia="zh-CN"/>
        </w:rPr>
        <w:t>（二）强化学习培训。</w:t>
      </w:r>
      <w:r>
        <w:rPr>
          <w:rFonts w:hint="eastAsia" w:ascii="仿宋_GB2312" w:hAnsi="仿宋_GB2312" w:eastAsia="仿宋_GB2312" w:cs="仿宋_GB2312"/>
          <w:sz w:val="32"/>
          <w:szCs w:val="32"/>
          <w:lang w:val="en-US" w:eastAsia="zh-CN"/>
        </w:rPr>
        <w:t>继续推进学法用法工作机制，组织开展市场监管相关法律法规知识和执法技能培训，不断提升执法人员运用法治思维与法治方式思考问题和解决问题的能力，进一步提升执法规范化水平。优化执法队伍建设，充实法治机构和一线执法人员力量，加快法治人才培养，提升市场监管法治队伍和执法队伍的整体素质及专业化水平。</w:t>
      </w:r>
    </w:p>
    <w:p w14:paraId="0D7276B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（三）强化普法力度。</w:t>
      </w:r>
      <w:r>
        <w:rPr>
          <w:rFonts w:hint="eastAsia" w:ascii="仿宋_GB2312" w:hAnsi="仿宋_GB2312" w:eastAsia="仿宋_GB2312" w:cs="仿宋_GB2312"/>
          <w:b w:val="0"/>
          <w:bCs w:val="0"/>
          <w:sz w:val="32"/>
          <w:szCs w:val="32"/>
          <w:lang w:val="en-US" w:eastAsia="zh-CN"/>
        </w:rPr>
        <w:t>认真落实“谁执法谁普法”责任制，以线上线下指导为抓手，将普法融合于监管执法和市场经济发展中，以多形式、多渠道、多维度大力开展普法宣传活动，督促经营单位落实主体责任，不断强化广大人民群众的法治意识，增强普法依法治理的实效性，以法治化市场监管助力市场经济高质量发展。</w:t>
      </w:r>
    </w:p>
    <w:p w14:paraId="48E4AFC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val="en-US" w:eastAsia="zh-CN"/>
        </w:rPr>
        <w:t>（四）提升执法质效。</w:t>
      </w:r>
      <w:r>
        <w:rPr>
          <w:rFonts w:hint="eastAsia" w:ascii="仿宋_GB2312" w:hAnsi="仿宋_GB2312" w:eastAsia="仿宋_GB2312" w:cs="仿宋_GB2312"/>
          <w:sz w:val="32"/>
          <w:szCs w:val="32"/>
          <w:lang w:val="en-US" w:eastAsia="zh-CN"/>
        </w:rPr>
        <w:t>在推行行政执法责任制上持续加力。严格落实行政执法“三项制度”，加大重点领域执法监管力度，持续开展案卷评查、以案释法、等行政执法业务培训等工作，不断提高执法水平和执法队伍整体素质。全面推进执法规范化建设提档升级。全面落实包容审慎监管执法和柔性执法，让市场监管执法更有力度、更有温度。</w:t>
      </w:r>
    </w:p>
    <w:p w14:paraId="0A31FA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Verdana" w:eastAsia="仿宋_GB2312" w:cs="宋体"/>
          <w:color w:val="000000"/>
          <w:sz w:val="32"/>
          <w:szCs w:val="32"/>
          <w:u w:val="single"/>
        </w:rPr>
      </w:pPr>
    </w:p>
    <w:sectPr>
      <w:footerReference r:id="rId5" w:type="first"/>
      <w:headerReference r:id="rId3" w:type="default"/>
      <w:footerReference r:id="rId4" w:type="default"/>
      <w:pgSz w:w="11906" w:h="16838"/>
      <w:pgMar w:top="2098" w:right="1474" w:bottom="1985" w:left="1588" w:header="851" w:footer="992" w:gutter="0"/>
      <w:pgNumType w:fmt="decimal" w:start="2"/>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02E5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C2193E">
                          <w:pPr>
                            <w:pStyle w:val="5"/>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cim94BAAC+AwAADgAAAGRycy9lMm9Eb2MueG1srVPBjtMwEL0j8Q+W&#10;7zTZSou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5dyKb3gEAAL4DAAAOAAAAAAAA&#10;AAEAIAAAAB4BAABkcnMvZTJvRG9jLnhtbFBLBQYAAAAABgAGAFkBAABuBQAAAAA=&#10;">
              <v:fill on="f" focussize="0,0"/>
              <v:stroke on="f"/>
              <v:imagedata o:title=""/>
              <o:lock v:ext="edit" aspectratio="f"/>
              <v:textbox inset="0mm,0mm,0mm,0mm" style="mso-fit-shape-to-text:t;">
                <w:txbxContent>
                  <w:p w14:paraId="65C2193E">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71B4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A46F87">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C6st4BAAC+AwAADgAAAGRycy9lMm9Eb2MueG1srVPNjtMwEL4j8Q6W&#10;7zTZI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9gLqy3gEAAL4DAAAOAAAAAAAA&#10;AAEAIAAAAB4BAABkcnMvZTJvRG9jLnhtbFBLBQYAAAAABgAGAFkBAABuBQAAAAA=&#10;">
              <v:fill on="f" focussize="0,0"/>
              <v:stroke on="f"/>
              <v:imagedata o:title=""/>
              <o:lock v:ext="edit" aspectratio="f"/>
              <v:textbox inset="0mm,0mm,0mm,0mm" style="mso-fit-shape-to-text:t;">
                <w:txbxContent>
                  <w:p w14:paraId="71A46F8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25CCD">
    <w:pPr>
      <w:pStyle w:val="6"/>
    </w:pPr>
  </w:p>
  <w:p w14:paraId="2F0B6E5E">
    <w:pPr>
      <w:pStyle w:val="6"/>
    </w:pPr>
  </w:p>
  <w:p w14:paraId="01C378E0">
    <w:pPr>
      <w:pStyle w:val="6"/>
    </w:pPr>
  </w:p>
  <w:p w14:paraId="3069C3DA">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MDNkMjg3Y2ZlNTU3MzU2NjQ4Nzc0NDE0N2ExZjIifQ=="/>
  </w:docVars>
  <w:rsids>
    <w:rsidRoot w:val="00040DD4"/>
    <w:rsid w:val="00040DD4"/>
    <w:rsid w:val="001D7EC5"/>
    <w:rsid w:val="00234984"/>
    <w:rsid w:val="00626223"/>
    <w:rsid w:val="0067398D"/>
    <w:rsid w:val="008742E5"/>
    <w:rsid w:val="00972950"/>
    <w:rsid w:val="00A40F17"/>
    <w:rsid w:val="00BE580A"/>
    <w:rsid w:val="00C625ED"/>
    <w:rsid w:val="00CA41A0"/>
    <w:rsid w:val="00D27DAB"/>
    <w:rsid w:val="00D96961"/>
    <w:rsid w:val="00E775EA"/>
    <w:rsid w:val="00EF4CFD"/>
    <w:rsid w:val="00EF7CDE"/>
    <w:rsid w:val="00F12652"/>
    <w:rsid w:val="00F31FB7"/>
    <w:rsid w:val="00F55367"/>
    <w:rsid w:val="00F6118B"/>
    <w:rsid w:val="013F10A1"/>
    <w:rsid w:val="01802AFE"/>
    <w:rsid w:val="03B95FF4"/>
    <w:rsid w:val="041A2F36"/>
    <w:rsid w:val="07D4693C"/>
    <w:rsid w:val="09820D43"/>
    <w:rsid w:val="0D2F2ACE"/>
    <w:rsid w:val="0DD376A5"/>
    <w:rsid w:val="14A75C90"/>
    <w:rsid w:val="16E55E13"/>
    <w:rsid w:val="17ED1F4D"/>
    <w:rsid w:val="1A365B40"/>
    <w:rsid w:val="1D731FCF"/>
    <w:rsid w:val="1E3E52EE"/>
    <w:rsid w:val="21721CEC"/>
    <w:rsid w:val="21B35861"/>
    <w:rsid w:val="225174F7"/>
    <w:rsid w:val="234C7C11"/>
    <w:rsid w:val="25B06DFF"/>
    <w:rsid w:val="27E35855"/>
    <w:rsid w:val="294873B7"/>
    <w:rsid w:val="2B221B3F"/>
    <w:rsid w:val="30B117AE"/>
    <w:rsid w:val="30CE2E7C"/>
    <w:rsid w:val="32671362"/>
    <w:rsid w:val="359E0925"/>
    <w:rsid w:val="35C20476"/>
    <w:rsid w:val="35C806CA"/>
    <w:rsid w:val="35F13298"/>
    <w:rsid w:val="37922808"/>
    <w:rsid w:val="380403D4"/>
    <w:rsid w:val="391D4354"/>
    <w:rsid w:val="3B6B584A"/>
    <w:rsid w:val="3C900121"/>
    <w:rsid w:val="3D232155"/>
    <w:rsid w:val="3F85073C"/>
    <w:rsid w:val="410D2112"/>
    <w:rsid w:val="41300D7A"/>
    <w:rsid w:val="41601281"/>
    <w:rsid w:val="432B5311"/>
    <w:rsid w:val="434006B9"/>
    <w:rsid w:val="444924A1"/>
    <w:rsid w:val="45BC3834"/>
    <w:rsid w:val="46961C52"/>
    <w:rsid w:val="47616A3F"/>
    <w:rsid w:val="48E409EA"/>
    <w:rsid w:val="4D284C8A"/>
    <w:rsid w:val="4D9D45C1"/>
    <w:rsid w:val="4E29142A"/>
    <w:rsid w:val="4E724CEA"/>
    <w:rsid w:val="4EE15FFD"/>
    <w:rsid w:val="5049789F"/>
    <w:rsid w:val="51DD0AE1"/>
    <w:rsid w:val="54CE1A03"/>
    <w:rsid w:val="550D751A"/>
    <w:rsid w:val="575C3A5C"/>
    <w:rsid w:val="5A137381"/>
    <w:rsid w:val="5A2C2F21"/>
    <w:rsid w:val="5E3816C6"/>
    <w:rsid w:val="60726AA9"/>
    <w:rsid w:val="609957CA"/>
    <w:rsid w:val="62C72696"/>
    <w:rsid w:val="638E0B64"/>
    <w:rsid w:val="642E6B65"/>
    <w:rsid w:val="67F27546"/>
    <w:rsid w:val="68983E47"/>
    <w:rsid w:val="6A7003D9"/>
    <w:rsid w:val="6B0B19AE"/>
    <w:rsid w:val="6E701EE1"/>
    <w:rsid w:val="6EDF387E"/>
    <w:rsid w:val="6FCE54FF"/>
    <w:rsid w:val="70837AF6"/>
    <w:rsid w:val="70954D8A"/>
    <w:rsid w:val="769B5D34"/>
    <w:rsid w:val="78801C2E"/>
    <w:rsid w:val="79782905"/>
    <w:rsid w:val="79D044EF"/>
    <w:rsid w:val="7A3C7C4F"/>
    <w:rsid w:val="7AC25BF6"/>
    <w:rsid w:val="7BDD526F"/>
    <w:rsid w:val="7F3824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link w:val="12"/>
    <w:qFormat/>
    <w:uiPriority w:val="0"/>
    <w:pPr>
      <w:spacing w:after="120"/>
    </w:pPr>
    <w:rPr>
      <w:rFonts w:ascii="Calibri" w:hAnsi="Calibri"/>
    </w:rPr>
  </w:style>
  <w:style w:type="paragraph" w:styleId="3">
    <w:name w:val="Body Text Indent"/>
    <w:basedOn w:val="1"/>
    <w:qFormat/>
    <w:uiPriority w:val="0"/>
    <w:pPr>
      <w:ind w:firstLine="630"/>
    </w:p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character" w:customStyle="1" w:styleId="12">
    <w:name w:val="正文文本 Char"/>
    <w:basedOn w:val="9"/>
    <w:link w:val="2"/>
    <w:semiHidden/>
    <w:qFormat/>
    <w:locked/>
    <w:uiPriority w:val="0"/>
    <w:rPr>
      <w:rFonts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11</Pages>
  <Words>4751</Words>
  <Characters>4949</Characters>
  <Lines>15</Lines>
  <Paragraphs>4</Paragraphs>
  <TotalTime>46</TotalTime>
  <ScaleCrop>false</ScaleCrop>
  <LinksUpToDate>false</LinksUpToDate>
  <CharactersWithSpaces>5038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2019-08-19T08:04:00Z</dcterms:created>
  <dc:creator>User</dc:creator>
  <cp:lastModifiedBy>路娇娇</cp:lastModifiedBy>
  <cp:lastPrinted>2023-09-11T11:20:00Z</cp:lastPrinted>
  <dcterms:modified xsi:type="dcterms:W3CDTF">2026-02-05T02:53:44Z</dcterms:modified>
  <dc:title>潢川县工商管理和质量技术监督局</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DF17BC70B6F44960B494E6889B58B710_13</vt:lpwstr>
  </property>
  <property fmtid="{D5CDD505-2E9C-101B-9397-08002B2CF9AE}" pid="4" name="KSOTemplateDocerSaveRecord">
    <vt:lpwstr>eyJoZGlkIjoiYzViZWFmODM1ZGVkNjBmYjQyNTNhNDg3NGE5OTRmNTYiLCJ1c2VySWQiOiIyNzE1Njg1MTcifQ==</vt:lpwstr>
  </property>
</Properties>
</file>