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F42B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eastAsia="zh-CN"/>
        </w:rPr>
        <w:t>潢川县</w:t>
      </w:r>
      <w:r>
        <w:rPr>
          <w:rFonts w:hint="eastAsia" w:ascii="黑体" w:hAnsi="黑体" w:eastAsia="黑体" w:cs="黑体"/>
          <w:sz w:val="44"/>
          <w:szCs w:val="44"/>
        </w:rPr>
        <w:t>卜塔集镇</w:t>
      </w:r>
    </w:p>
    <w:p w14:paraId="7E40503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eastAsia="zh-CN"/>
        </w:rPr>
        <w:t>关于</w:t>
      </w:r>
      <w:r>
        <w:rPr>
          <w:rFonts w:hint="eastAsia" w:ascii="黑体" w:hAnsi="黑体" w:eastAsia="黑体" w:cs="黑体"/>
          <w:sz w:val="44"/>
          <w:szCs w:val="44"/>
        </w:rPr>
        <w:t>2025年法治政府建设</w:t>
      </w:r>
      <w:r>
        <w:rPr>
          <w:rFonts w:hint="eastAsia" w:ascii="黑体" w:hAnsi="黑体" w:eastAsia="黑体" w:cs="黑体"/>
          <w:sz w:val="44"/>
          <w:szCs w:val="44"/>
          <w:lang w:eastAsia="zh-CN"/>
        </w:rPr>
        <w:t>情况的</w:t>
      </w:r>
      <w:r>
        <w:rPr>
          <w:rFonts w:hint="eastAsia" w:ascii="黑体" w:hAnsi="黑体" w:eastAsia="黑体" w:cs="黑体"/>
          <w:sz w:val="44"/>
          <w:szCs w:val="44"/>
        </w:rPr>
        <w:t>报告</w:t>
      </w:r>
    </w:p>
    <w:p w14:paraId="60373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2E3E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在县委、县政府的坚强领导和县委全面依法治县委员会的有力指导下，卜塔集镇坚持以习近平法治思想为根本遵循，深入贯彻落实党中央、国务院及省、市、县关于法治政府建设的各项决策部署，以更高标准、更实举措、更严要求统筹推进法治政府建设各项工作。全镇上下紧紧围绕中心、服务大局，持续深化依法行政实践，着力规范行政权力运行，不断优化法治化营商环境，有效化解社会矛盾纠纷，法治政府建设取得阶段性新成效，为全镇经济社会持续健康发展和人民群众安居乐业提供了坚强法治保障。现将本年度工作情况报告如下：</w:t>
      </w:r>
    </w:p>
    <w:p w14:paraId="620484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一、2025年党政主要负责人履行推进法治建设第一责任人职责，加强法治政府建设的有关情况</w:t>
      </w:r>
    </w:p>
    <w:p w14:paraId="34A6B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镇党委、政府始终将法治建设作为全局性、基础性、保障性工程来抓，党政主要负责人切实扛起第一责任人职责，亲自部署、亲自协调、亲自督办，确保法治政府建设各项任务落地生根。</w:t>
      </w:r>
    </w:p>
    <w:p w14:paraId="61A8ED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highlight w:val="none"/>
        </w:rPr>
        <w:t>（一）完善顶层设计，健全组织领导体系。</w:t>
      </w:r>
      <w:r>
        <w:rPr>
          <w:rFonts w:hint="eastAsia" w:ascii="仿宋_GB2312" w:hAnsi="仿宋_GB2312" w:eastAsia="仿宋_GB2312" w:cs="仿宋_GB2312"/>
          <w:sz w:val="32"/>
          <w:szCs w:val="32"/>
        </w:rPr>
        <w:t>坚持党对法治政府建设的全面领导，充分发挥镇党委总揽全局、协调各方的领导核心作用。</w:t>
      </w:r>
      <w:r>
        <w:rPr>
          <w:rFonts w:hint="eastAsia" w:ascii="仿宋_GB2312" w:hAnsi="仿宋_GB2312" w:eastAsia="仿宋_GB2312" w:cs="仿宋_GB2312"/>
          <w:sz w:val="32"/>
          <w:szCs w:val="32"/>
          <w:lang w:val="en-US" w:eastAsia="zh-CN"/>
        </w:rPr>
        <w:t>全年召开党委会议2次，专题</w:t>
      </w:r>
      <w:r>
        <w:rPr>
          <w:rFonts w:hint="eastAsia" w:ascii="仿宋_GB2312" w:hAnsi="仿宋_GB2312" w:eastAsia="仿宋_GB2312" w:cs="仿宋_GB2312"/>
          <w:sz w:val="32"/>
          <w:szCs w:val="32"/>
        </w:rPr>
        <w:t>研究审议法治建设重要规划、年度计划、重大事项及督察考核结果，确保法治建设与经济社会发展同频共振、深度融合。将法治建设成效纳入镇直各部门、各行政村年度综合考核体系，切实发挥“指挥棒”作用。</w:t>
      </w:r>
    </w:p>
    <w:p w14:paraId="662836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highlight w:val="none"/>
        </w:rPr>
        <w:t>（二）构建责任闭环，狠抓</w:t>
      </w:r>
      <w:r>
        <w:rPr>
          <w:rFonts w:hint="eastAsia" w:ascii="楷体" w:hAnsi="楷体" w:eastAsia="楷体" w:cs="楷体"/>
          <w:b/>
          <w:bCs/>
          <w:sz w:val="32"/>
          <w:szCs w:val="32"/>
          <w:highlight w:val="none"/>
          <w:lang w:eastAsia="zh-CN"/>
        </w:rPr>
        <w:t>“关键少数”</w:t>
      </w:r>
      <w:r>
        <w:rPr>
          <w:rFonts w:hint="eastAsia" w:ascii="楷体" w:hAnsi="楷体" w:eastAsia="楷体" w:cs="楷体"/>
          <w:b/>
          <w:bCs/>
          <w:sz w:val="32"/>
          <w:szCs w:val="32"/>
          <w:highlight w:val="none"/>
        </w:rPr>
        <w:t>履职。</w:t>
      </w:r>
      <w:r>
        <w:rPr>
          <w:rFonts w:hint="eastAsia" w:ascii="仿宋_GB2312" w:hAnsi="仿宋_GB2312" w:eastAsia="仿宋_GB2312" w:cs="仿宋_GB2312"/>
          <w:sz w:val="32"/>
          <w:szCs w:val="32"/>
        </w:rPr>
        <w:t>明确镇党委书记、镇长在推进法治建设中的具体职责。严格落实法治建设重大事项向党委请示报告制度，</w:t>
      </w:r>
      <w:r>
        <w:rPr>
          <w:rFonts w:hint="eastAsia" w:ascii="仿宋_GB2312" w:hAnsi="仿宋_GB2312" w:eastAsia="仿宋_GB2312" w:cs="仿宋_GB2312"/>
          <w:sz w:val="32"/>
          <w:szCs w:val="32"/>
          <w:lang w:val="en-US" w:eastAsia="zh-CN"/>
        </w:rPr>
        <w:t>镇党委听取上一年度法治政府建设情况汇报</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次</w:t>
      </w:r>
      <w:r>
        <w:rPr>
          <w:rFonts w:hint="eastAsia" w:ascii="仿宋_GB2312" w:hAnsi="仿宋_GB2312" w:eastAsia="仿宋_GB2312" w:cs="仿宋_GB2312"/>
          <w:sz w:val="32"/>
          <w:szCs w:val="32"/>
        </w:rPr>
        <w:t>。将党政主要负责人及班子成员履行法治建设职责情况纳入年度述职报告和民主生活会对照检查内容，组织开展专题述法评议</w:t>
      </w:r>
      <w:r>
        <w:rPr>
          <w:rFonts w:hint="eastAsia" w:ascii="仿宋_GB2312" w:hAnsi="仿宋_GB2312" w:eastAsia="仿宋_GB2312" w:cs="仿宋_GB2312"/>
          <w:sz w:val="32"/>
          <w:szCs w:val="32"/>
          <w:lang w:val="en-US" w:eastAsia="zh-CN"/>
        </w:rPr>
        <w:t>1次</w:t>
      </w:r>
      <w:r>
        <w:rPr>
          <w:rFonts w:hint="eastAsia" w:ascii="仿宋_GB2312" w:hAnsi="仿宋_GB2312" w:eastAsia="仿宋_GB2312" w:cs="仿宋_GB2312"/>
          <w:sz w:val="32"/>
          <w:szCs w:val="32"/>
        </w:rPr>
        <w:t>。推动建立“党委领导、政府负责、部门联动、社会参与”的法治建设工作格局，层层签订法治建设目标责任书，形成一级抓一级、层层抓落实的责任体系。</w:t>
      </w:r>
    </w:p>
    <w:p w14:paraId="41117A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highlight w:val="none"/>
        </w:rPr>
        <w:t>（三）强化理论武装，筑牢思想政治根基。</w:t>
      </w:r>
      <w:r>
        <w:rPr>
          <w:rFonts w:hint="eastAsia" w:ascii="仿宋_GB2312" w:hAnsi="仿宋_GB2312" w:eastAsia="仿宋_GB2312" w:cs="仿宋_GB2312"/>
          <w:sz w:val="32"/>
          <w:szCs w:val="32"/>
        </w:rPr>
        <w:t>坚持把学习习近平法治思想作为党委理论学习中心组学习、干部教育培训的必修课和常修课。镇党委理论学习中心组全年组织专题法治学习</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次，其中围绕习近平法治思想核心要义、中央全面依法治国工作会议精神等开展深入研讨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次。镇党委书记、镇长带头讲授法治专题党课</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次，解读政策法规，分享学习体会。建立并落实政府常务会议、领导班子会议会前学法制度，全年累计开展会前学法</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次，重点学习新修订的《</w:t>
      </w:r>
      <w:r>
        <w:rPr>
          <w:rFonts w:hint="eastAsia" w:ascii="仿宋_GB2312" w:hAnsi="仿宋_GB2312" w:eastAsia="仿宋_GB2312" w:cs="仿宋_GB2312"/>
          <w:sz w:val="32"/>
          <w:szCs w:val="32"/>
          <w:lang w:eastAsia="zh-CN"/>
        </w:rPr>
        <w:t>中华人民共和国行政复议法》《中华人民共和国行政处罚法</w:t>
      </w:r>
      <w:r>
        <w:rPr>
          <w:rFonts w:hint="eastAsia" w:ascii="仿宋_GB2312" w:hAnsi="仿宋_GB2312" w:eastAsia="仿宋_GB2312" w:cs="仿宋_GB2312"/>
          <w:sz w:val="32"/>
          <w:szCs w:val="32"/>
        </w:rPr>
        <w:t>》及乡村振兴、安全生产、生态环境等领域法律法规，切实提升领导干部运用法治思维和法治方式深化改革、推动发展、化解矛盾、维护稳定的能力。</w:t>
      </w:r>
    </w:p>
    <w:p w14:paraId="7211E5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highlight w:val="none"/>
        </w:rPr>
        <w:t>（四）健全决策机制，提升依法决策水平。 </w:t>
      </w:r>
      <w:r>
        <w:rPr>
          <w:rFonts w:hint="eastAsia" w:ascii="仿宋_GB2312" w:hAnsi="仿宋_GB2312" w:eastAsia="仿宋_GB2312" w:cs="仿宋_GB2312"/>
          <w:sz w:val="32"/>
          <w:szCs w:val="32"/>
        </w:rPr>
        <w:t>严格执行《重大行政决策程序暂行条例》，全面落实公众参与、专家论证、风险评估、合法性审查、集体讨论决定等法定程序。明确重大行政决策范围、标准和流程。充分发挥法律顾问和公职律师在重大决策、重要合同、重大执法决定中的参谋助手作用，确保决策内容合法、</w:t>
      </w:r>
      <w:r>
        <w:rPr>
          <w:rFonts w:hint="eastAsia" w:ascii="仿宋_GB2312" w:hAnsi="仿宋_GB2312" w:eastAsia="仿宋_GB2312" w:cs="仿宋_GB2312"/>
          <w:sz w:val="32"/>
          <w:szCs w:val="32"/>
          <w:highlight w:val="none"/>
        </w:rPr>
        <w:t>程序合规。</w:t>
      </w:r>
      <w:r>
        <w:rPr>
          <w:rFonts w:hint="eastAsia" w:ascii="仿宋_GB2312" w:hAnsi="仿宋_GB2312" w:eastAsia="仿宋_GB2312" w:cs="仿宋_GB2312"/>
          <w:sz w:val="32"/>
          <w:szCs w:val="32"/>
        </w:rPr>
        <w:t>建立决策过程记录和材料归档制度，实现决策全过程留痕、可回溯管理。</w:t>
      </w:r>
    </w:p>
    <w:p w14:paraId="52EFDC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二、2025年推进法治政府建设的主要举措和成效</w:t>
      </w:r>
    </w:p>
    <w:p w14:paraId="0F2639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（一）聚焦职能转变，纵深推进改革创新，政务服务效能实现新提升</w:t>
      </w:r>
    </w:p>
    <w:p w14:paraId="58A980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权力运行更加规范透明。 </w:t>
      </w:r>
      <w:r>
        <w:rPr>
          <w:rFonts w:hint="eastAsia" w:ascii="仿宋_GB2312" w:hAnsi="仿宋_GB2312" w:eastAsia="仿宋_GB2312" w:cs="仿宋_GB2312"/>
          <w:sz w:val="32"/>
          <w:szCs w:val="32"/>
        </w:rPr>
        <w:t>全面梳理并动态调整镇级权责清单、政务服务事项清单、行政许可事项清单和备案管理事项清单，通过政府门户网站、政务服务大厅等渠道向社会公开，做到“清单之外无权力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大厅之外无审批”。持续推进政务服务标准化、规范化、便利化建设，镇便民服务中心及各村（社区）便民服务站实现事项名称、编码、依据、类型、材料、时限“六统一”。</w:t>
      </w:r>
      <w:r>
        <w:rPr>
          <w:rFonts w:hint="eastAsia" w:ascii="仿宋_GB2312" w:hAnsi="仿宋_GB2312" w:eastAsia="仿宋_GB2312" w:cs="仿宋_GB2312"/>
          <w:b/>
          <w:bCs/>
          <w:sz w:val="32"/>
          <w:szCs w:val="32"/>
        </w:rPr>
        <w:t>行政审批持续提质增效。</w:t>
      </w:r>
      <w:r>
        <w:rPr>
          <w:rFonts w:hint="eastAsia" w:ascii="仿宋_GB2312" w:hAnsi="仿宋_GB2312" w:eastAsia="仿宋_GB2312" w:cs="仿宋_GB2312"/>
          <w:sz w:val="32"/>
          <w:szCs w:val="32"/>
        </w:rPr>
        <w:t>深化“一网通办”前提下的“最多跑一次”改革，大力推广“豫事办”APP应用，推动更多高频事项“掌上办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指尖办”。推行证明事项告知承诺制，清理取消非必要证明</w:t>
      </w:r>
      <w:r>
        <w:rPr>
          <w:rFonts w:hint="eastAsia" w:ascii="仿宋_GB2312" w:hAnsi="仿宋_GB2312" w:eastAsia="仿宋_GB2312" w:cs="仿宋_GB2312"/>
          <w:sz w:val="32"/>
          <w:szCs w:val="32"/>
          <w:highlight w:val="none"/>
          <w:lang w:val="en-US" w:eastAsia="zh-CN"/>
        </w:rPr>
        <w:t>事项</w:t>
      </w:r>
      <w:r>
        <w:rPr>
          <w:rFonts w:hint="eastAsia" w:ascii="仿宋_GB2312" w:hAnsi="仿宋_GB2312" w:eastAsia="仿宋_GB2312" w:cs="仿宋_GB2312"/>
          <w:sz w:val="32"/>
          <w:szCs w:val="32"/>
        </w:rPr>
        <w:t>。优化企业开办、项目审批流程，设立“一件事一次办”综合窗口，为市场主体提供全生命周期服务。2025年，镇便民服务中心</w:t>
      </w:r>
      <w:r>
        <w:rPr>
          <w:rFonts w:hint="eastAsia" w:ascii="仿宋_GB2312" w:hAnsi="仿宋_GB2312" w:eastAsia="仿宋_GB2312" w:cs="仿宋_GB2312"/>
          <w:sz w:val="32"/>
          <w:szCs w:val="32"/>
          <w:highlight w:val="none"/>
        </w:rPr>
        <w:t>累计受理各类政务服务事项</w:t>
      </w:r>
      <w:r>
        <w:rPr>
          <w:rFonts w:hint="eastAsia" w:ascii="仿宋_GB2312" w:hAnsi="仿宋_GB2312" w:eastAsia="仿宋_GB2312" w:cs="仿宋_GB2312"/>
          <w:sz w:val="32"/>
          <w:szCs w:val="32"/>
          <w:highlight w:val="none"/>
          <w:lang w:val="en-US" w:eastAsia="zh-CN"/>
        </w:rPr>
        <w:t>1000余</w:t>
      </w:r>
      <w:r>
        <w:rPr>
          <w:rFonts w:hint="eastAsia" w:ascii="仿宋_GB2312" w:hAnsi="仿宋_GB2312" w:eastAsia="仿宋_GB2312" w:cs="仿宋_GB2312"/>
          <w:sz w:val="32"/>
          <w:szCs w:val="32"/>
          <w:highlight w:val="none"/>
        </w:rPr>
        <w:t>件，按时办结率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%，群众满意率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rPr>
        <w:t>营商环境不断优化改善。</w:t>
      </w:r>
      <w:r>
        <w:rPr>
          <w:rFonts w:hint="eastAsia" w:ascii="仿宋_GB2312" w:hAnsi="仿宋_GB2312" w:eastAsia="仿宋_GB2312" w:cs="仿宋_GB2312"/>
          <w:sz w:val="32"/>
          <w:szCs w:val="32"/>
        </w:rPr>
        <w:t>严格落实公平竞争审查制度，清理废除妨碍统一市场和公平竞争的政策措施。建立健全企业走访、问题收集、协调解决闭环机制，依法保护各类市场主体产权和合法权益。加强涉企政策宣传解读，开展“送法进企业”活动</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场，为企业提供法律咨询</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次</w:t>
      </w:r>
      <w:r>
        <w:rPr>
          <w:rFonts w:hint="eastAsia" w:ascii="仿宋_GB2312" w:hAnsi="仿宋_GB2312" w:eastAsia="仿宋_GB2312" w:cs="仿宋_GB2312"/>
          <w:sz w:val="32"/>
          <w:szCs w:val="32"/>
        </w:rPr>
        <w:t>，帮助企业防范化解法律风险。</w:t>
      </w:r>
    </w:p>
    <w:p w14:paraId="1870A1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（二）聚焦严格规范，加强执法队伍建设，行政执法公信力获得新增强</w:t>
      </w:r>
    </w:p>
    <w:p w14:paraId="3D03F5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执法主体资格全面规范。</w:t>
      </w:r>
      <w:r>
        <w:rPr>
          <w:rFonts w:hint="eastAsia" w:ascii="仿宋_GB2312" w:hAnsi="仿宋_GB2312" w:eastAsia="仿宋_GB2312" w:cs="仿宋_GB2312"/>
          <w:sz w:val="32"/>
          <w:szCs w:val="32"/>
        </w:rPr>
        <w:t>严格落实行政执法人员持证上岗和资格管理制度，组织综合行政执法大队</w:t>
      </w:r>
      <w:r>
        <w:rPr>
          <w:rFonts w:hint="eastAsia" w:ascii="仿宋_GB2312" w:hAnsi="仿宋_GB2312" w:eastAsia="仿宋_GB2312" w:cs="仿宋_GB2312"/>
          <w:sz w:val="32"/>
          <w:szCs w:val="32"/>
          <w:lang w:val="en-US" w:eastAsia="zh-CN"/>
        </w:rPr>
        <w:t>全体</w:t>
      </w:r>
      <w:r>
        <w:rPr>
          <w:rFonts w:hint="eastAsia" w:ascii="仿宋_GB2312" w:hAnsi="仿宋_GB2312" w:eastAsia="仿宋_GB2312" w:cs="仿宋_GB2312"/>
          <w:sz w:val="32"/>
          <w:szCs w:val="32"/>
        </w:rPr>
        <w:t>在岗执法人员参加《信阳市行政执法人员在线培训云平台》学习培训60学时以上。精心组织执法证件换发工作，大队10名工作人员均完成年度公共法律知识更新培训和审验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顺利通过年度换证考试，保障了执法主体资格的合法有效。</w:t>
      </w:r>
      <w:r>
        <w:rPr>
          <w:rFonts w:hint="eastAsia" w:ascii="仿宋_GB2312" w:hAnsi="仿宋_GB2312" w:eastAsia="仿宋_GB2312" w:cs="仿宋_GB2312"/>
          <w:b/>
          <w:bCs/>
          <w:sz w:val="32"/>
          <w:szCs w:val="32"/>
        </w:rPr>
        <w:t>执法能力素养显著提升。</w:t>
      </w:r>
      <w:r>
        <w:rPr>
          <w:rFonts w:hint="eastAsia" w:ascii="仿宋_GB2312" w:hAnsi="仿宋_GB2312" w:eastAsia="仿宋_GB2312" w:cs="仿宋_GB2312"/>
          <w:sz w:val="32"/>
          <w:szCs w:val="32"/>
        </w:rPr>
        <w:t>制定年度行政执法培训计划，围绕新修订法律法规、执法程序规范、执法文书制作、执法风险防范等内容，采取集中授课、案例研讨、模拟演练、旁听庭审等形式，组织开展各类培训线下培训20余次，参训人员</w:t>
      </w:r>
      <w:r>
        <w:rPr>
          <w:rFonts w:hint="eastAsia" w:ascii="仿宋_GB2312" w:hAnsi="仿宋_GB2312" w:eastAsia="仿宋_GB2312" w:cs="仿宋_GB2312"/>
          <w:sz w:val="32"/>
          <w:szCs w:val="32"/>
          <w:lang w:val="en-US" w:eastAsia="zh-CN"/>
        </w:rPr>
        <w:t>200余</w:t>
      </w:r>
      <w:r>
        <w:rPr>
          <w:rFonts w:hint="eastAsia" w:ascii="仿宋_GB2312" w:hAnsi="仿宋_GB2312" w:eastAsia="仿宋_GB2312" w:cs="仿宋_GB2312"/>
          <w:sz w:val="32"/>
          <w:szCs w:val="32"/>
        </w:rPr>
        <w:t>人次。鼓励执法人员参加法律职业资格考试和在职学历教育，提升专业素养。</w:t>
      </w:r>
      <w:r>
        <w:rPr>
          <w:rFonts w:hint="eastAsia" w:ascii="仿宋_GB2312" w:hAnsi="仿宋_GB2312" w:eastAsia="仿宋_GB2312" w:cs="仿宋_GB2312"/>
          <w:b/>
          <w:bCs/>
          <w:sz w:val="32"/>
          <w:szCs w:val="32"/>
          <w:lang w:val="en-US" w:eastAsia="zh-CN"/>
        </w:rPr>
        <w:t>重点领域执法成效明显</w:t>
      </w:r>
      <w:r>
        <w:rPr>
          <w:rFonts w:hint="eastAsia" w:ascii="仿宋_GB2312" w:hAnsi="仿宋_GB2312" w:eastAsia="仿宋_GB2312" w:cs="仿宋_GB2312"/>
          <w:b/>
          <w:bCs/>
          <w:sz w:val="32"/>
          <w:szCs w:val="32"/>
        </w:rPr>
        <w:t>。 </w:t>
      </w:r>
      <w:r>
        <w:rPr>
          <w:rFonts w:hint="eastAsia" w:ascii="仿宋_GB2312" w:hAnsi="仿宋_GB2312" w:eastAsia="仿宋_GB2312" w:cs="仿宋_GB2312"/>
          <w:sz w:val="32"/>
          <w:szCs w:val="32"/>
        </w:rPr>
        <w:t>综合行政执法大队聚焦主责主业，扎实开展市场秩序专项整治，全年开展行政执法检查80余次，规范商户150余家，有效维护了公平竞争的市场环境。严格落实土地管理和城乡规划法律法规，加强建房日常巡查监管，累计巡查60余次，下发土地违法停建通知书5起，处理土地纠纷2处、制止违建苗头3起，办理行政处罚案件2起，有效遏制了违法建设势头。同时，高效完成镇容环境、交通秩序、噪音扰民、环保巡查等常规执法任务。</w:t>
      </w:r>
      <w:r>
        <w:rPr>
          <w:rFonts w:hint="eastAsia" w:ascii="仿宋_GB2312" w:hAnsi="仿宋_GB2312" w:eastAsia="仿宋_GB2312" w:cs="仿宋_GB2312"/>
          <w:b/>
          <w:bCs/>
          <w:sz w:val="32"/>
          <w:szCs w:val="32"/>
          <w:lang w:val="en-US" w:eastAsia="zh-CN"/>
        </w:rPr>
        <w:t>协同联动水平持续强化。</w:t>
      </w:r>
      <w:r>
        <w:rPr>
          <w:rFonts w:hint="eastAsia" w:ascii="仿宋_GB2312" w:hAnsi="仿宋_GB2312" w:eastAsia="仿宋_GB2312" w:cs="仿宋_GB2312"/>
          <w:sz w:val="32"/>
          <w:szCs w:val="32"/>
          <w:lang w:val="en-US" w:eastAsia="zh-CN"/>
        </w:rPr>
        <w:t>树立“大安全”理念，综合行政执法大队积极配合镇平安办、派出所、消防服务中心等部门开展联合安全检查。通过联合执法，形成监管合力，有效提升了安全隐患排查整治的覆盖面和威慑力，全年参与联合检查6次，协助排查整改安全隐患10余处，共同筑牢了辖区安全防线。</w:t>
      </w:r>
    </w:p>
    <w:p w14:paraId="03EA0C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（三）聚焦矛盾化解，完善多元调处机制，社会治理法治化迈出新步伐</w:t>
      </w:r>
    </w:p>
    <w:p w14:paraId="66C37F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“大调解”格局持续巩固。</w:t>
      </w:r>
      <w:r>
        <w:rPr>
          <w:rFonts w:hint="eastAsia" w:ascii="仿宋_GB2312" w:hAnsi="仿宋_GB2312" w:eastAsia="仿宋_GB2312" w:cs="仿宋_GB2312"/>
          <w:sz w:val="32"/>
          <w:szCs w:val="32"/>
        </w:rPr>
        <w:t>坚持和发展新时代“枫桥经验”，镇平安办牵头健全矛盾纠纷多元化解机制。选优配强专兼职人民调解员，全镇现有人民调解员</w:t>
      </w:r>
      <w:r>
        <w:rPr>
          <w:rFonts w:hint="eastAsia" w:ascii="仿宋_GB2312" w:hAnsi="仿宋_GB2312" w:eastAsia="仿宋_GB2312" w:cs="仿宋_GB2312"/>
          <w:sz w:val="32"/>
          <w:szCs w:val="32"/>
          <w:highlight w:val="none"/>
          <w:lang w:val="en-US" w:eastAsia="zh-CN"/>
        </w:rPr>
        <w:t>12名</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定期组织开展调解技能、法律知识、心理学知识培训，提升调解员专业能力和群众工作水平。全年共排查调解矛盾纠纷</w:t>
      </w:r>
      <w:r>
        <w:rPr>
          <w:rFonts w:hint="eastAsia" w:ascii="仿宋_GB2312" w:hAnsi="仿宋_GB2312" w:eastAsia="仿宋_GB2312" w:cs="仿宋_GB2312"/>
          <w:sz w:val="32"/>
          <w:szCs w:val="32"/>
          <w:highlight w:val="none"/>
          <w:lang w:val="en-US" w:eastAsia="zh-CN"/>
        </w:rPr>
        <w:t>74</w:t>
      </w:r>
      <w:r>
        <w:rPr>
          <w:rFonts w:hint="eastAsia" w:ascii="仿宋_GB2312" w:hAnsi="仿宋_GB2312" w:eastAsia="仿宋_GB2312" w:cs="仿宋_GB2312"/>
          <w:sz w:val="32"/>
          <w:szCs w:val="32"/>
          <w:highlight w:val="none"/>
        </w:rPr>
        <w:t>起，调解成功率达</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，实现了信访人事心双解。同时，司法所发挥</w:t>
      </w:r>
      <w:r>
        <w:rPr>
          <w:rFonts w:hint="eastAsia" w:ascii="仿宋_GB2312" w:hAnsi="仿宋_GB2312" w:eastAsia="仿宋_GB2312" w:cs="仿宋_GB2312"/>
          <w:sz w:val="32"/>
          <w:szCs w:val="32"/>
          <w:highlight w:val="none"/>
          <w:lang w:val="en-US" w:eastAsia="zh-CN"/>
        </w:rPr>
        <w:t>积极</w:t>
      </w:r>
      <w:r>
        <w:rPr>
          <w:rFonts w:hint="eastAsia" w:ascii="仿宋_GB2312" w:hAnsi="仿宋_GB2312" w:eastAsia="仿宋_GB2312" w:cs="仿宋_GB2312"/>
          <w:sz w:val="32"/>
          <w:szCs w:val="32"/>
          <w:highlight w:val="none"/>
        </w:rPr>
        <w:t>作用，全年调解案件</w:t>
      </w:r>
      <w:r>
        <w:rPr>
          <w:rFonts w:hint="eastAsia" w:ascii="仿宋_GB2312" w:hAnsi="仿宋_GB2312" w:eastAsia="仿宋_GB2312" w:cs="仿宋_GB2312"/>
          <w:sz w:val="32"/>
          <w:szCs w:val="32"/>
          <w:highlight w:val="none"/>
          <w:lang w:val="en-US" w:eastAsia="zh-CN"/>
        </w:rPr>
        <w:t>70件</w:t>
      </w:r>
      <w:r>
        <w:rPr>
          <w:rFonts w:hint="eastAsia" w:ascii="仿宋_GB2312" w:hAnsi="仿宋_GB2312" w:eastAsia="仿宋_GB2312" w:cs="仿宋_GB2312"/>
          <w:sz w:val="32"/>
          <w:szCs w:val="32"/>
          <w:highlight w:val="none"/>
        </w:rPr>
        <w:t>，成功率</w:t>
      </w:r>
      <w:r>
        <w:rPr>
          <w:rFonts w:hint="eastAsia" w:ascii="仿宋_GB2312" w:hAnsi="仿宋_GB2312" w:eastAsia="仿宋_GB2312" w:cs="仿宋_GB2312"/>
          <w:sz w:val="32"/>
          <w:szCs w:val="32"/>
          <w:highlight w:val="none"/>
          <w:lang w:val="en-US" w:eastAsia="zh-CN"/>
        </w:rPr>
        <w:t>98.6%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基本实现“小事不出村、大事不出镇、矛盾不上交”。</w:t>
      </w:r>
      <w:r>
        <w:rPr>
          <w:rFonts w:hint="eastAsia" w:ascii="仿宋_GB2312" w:hAnsi="仿宋_GB2312" w:eastAsia="仿宋_GB2312" w:cs="仿宋_GB2312"/>
          <w:b w:val="0"/>
          <w:bCs w:val="0"/>
          <w:sz w:val="32"/>
          <w:szCs w:val="32"/>
        </w:rPr>
        <w:t>信访法治化水平稳步提高。严格落实领导干部接访下访和包案制度，全年党政领导接访</w:t>
      </w:r>
      <w:r>
        <w:rPr>
          <w:rFonts w:hint="eastAsia" w:ascii="仿宋_GB2312" w:hAnsi="仿宋_GB2312" w:eastAsia="仿宋_GB2312" w:cs="仿宋_GB2312"/>
          <w:b w:val="0"/>
          <w:bCs w:val="0"/>
          <w:sz w:val="32"/>
          <w:szCs w:val="32"/>
          <w:lang w:val="en-US" w:eastAsia="zh-CN"/>
        </w:rPr>
        <w:t>216</w:t>
      </w:r>
      <w:r>
        <w:rPr>
          <w:rFonts w:hint="eastAsia" w:ascii="仿宋_GB2312" w:hAnsi="仿宋_GB2312" w:eastAsia="仿宋_GB2312" w:cs="仿宋_GB2312"/>
          <w:b w:val="0"/>
          <w:bCs w:val="0"/>
          <w:sz w:val="32"/>
          <w:szCs w:val="32"/>
        </w:rPr>
        <w:t>次，召开信访工作调度会12次、专题研究会4次。畅通信访渠道，全年共接待处理信访案件</w:t>
      </w:r>
      <w:r>
        <w:rPr>
          <w:rFonts w:hint="eastAsia" w:ascii="仿宋_GB2312" w:hAnsi="仿宋_GB2312" w:eastAsia="仿宋_GB2312" w:cs="仿宋_GB2312"/>
          <w:b w:val="0"/>
          <w:bCs w:val="0"/>
          <w:sz w:val="32"/>
          <w:szCs w:val="32"/>
          <w:lang w:val="en-US" w:eastAsia="zh-CN"/>
        </w:rPr>
        <w:t>55</w:t>
      </w:r>
      <w:r>
        <w:rPr>
          <w:rFonts w:hint="eastAsia" w:ascii="仿宋_GB2312" w:hAnsi="仿宋_GB2312" w:eastAsia="仿宋_GB2312" w:cs="仿宋_GB2312"/>
          <w:b w:val="0"/>
          <w:bCs w:val="0"/>
          <w:sz w:val="32"/>
          <w:szCs w:val="32"/>
        </w:rPr>
        <w:t>例，受理12345热线</w:t>
      </w:r>
      <w:r>
        <w:rPr>
          <w:rFonts w:hint="eastAsia" w:ascii="仿宋_GB2312" w:hAnsi="仿宋_GB2312" w:eastAsia="仿宋_GB2312" w:cs="仿宋_GB2312"/>
          <w:b w:val="0"/>
          <w:bCs w:val="0"/>
          <w:sz w:val="32"/>
          <w:szCs w:val="32"/>
          <w:lang w:val="en-US" w:eastAsia="zh-CN"/>
        </w:rPr>
        <w:t>114</w:t>
      </w:r>
      <w:r>
        <w:rPr>
          <w:rFonts w:hint="eastAsia" w:ascii="仿宋_GB2312" w:hAnsi="仿宋_GB2312" w:eastAsia="仿宋_GB2312" w:cs="仿宋_GB2312"/>
          <w:b w:val="0"/>
          <w:bCs w:val="0"/>
          <w:sz w:val="32"/>
          <w:szCs w:val="32"/>
        </w:rPr>
        <w:t>件，按期办结率100%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bCs/>
          <w:sz w:val="32"/>
          <w:szCs w:val="32"/>
        </w:rPr>
        <w:t>特殊人群服务管理精准有效。</w:t>
      </w:r>
      <w:r>
        <w:rPr>
          <w:rFonts w:hint="eastAsia" w:ascii="仿宋_GB2312" w:hAnsi="仿宋_GB2312" w:eastAsia="仿宋_GB2312" w:cs="仿宋_GB2312"/>
          <w:sz w:val="32"/>
          <w:szCs w:val="32"/>
        </w:rPr>
        <w:t>加强对严重精神障碍患者、社区矫正对象、刑满释放人员等重点人群的服务管理。全镇严重精神障碍患者均按规范落实管控措施。社区矫正与安置帮教工作扎实有序，</w:t>
      </w:r>
      <w:r>
        <w:rPr>
          <w:rFonts w:hint="eastAsia" w:ascii="仿宋_GB2312" w:hAnsi="仿宋_GB2312" w:eastAsia="仿宋_GB2312" w:cs="仿宋_GB2312"/>
          <w:sz w:val="32"/>
          <w:szCs w:val="32"/>
          <w:highlight w:val="none"/>
          <w:lang w:val="en-US" w:eastAsia="zh-CN"/>
        </w:rPr>
        <w:t>2025年，我镇新接收的刑满释放人员通过落实安置帮教责任书、定期走访、加强法治宣传教育工作，人员均得到妥善管理，</w:t>
      </w:r>
      <w:r>
        <w:rPr>
          <w:rFonts w:hint="eastAsia" w:ascii="仿宋_GB2312" w:hAnsi="仿宋_GB2312" w:eastAsia="仿宋_GB2312" w:cs="仿宋_GB2312"/>
          <w:sz w:val="32"/>
          <w:szCs w:val="32"/>
        </w:rPr>
        <w:t>未发生脱管漏管和重大重新犯罪情况。</w:t>
      </w:r>
      <w:r>
        <w:rPr>
          <w:rFonts w:hint="eastAsia" w:ascii="仿宋_GB2312" w:hAnsi="仿宋_GB2312" w:eastAsia="仿宋_GB2312" w:cs="仿宋_GB2312"/>
          <w:b/>
          <w:bCs/>
          <w:sz w:val="32"/>
          <w:szCs w:val="32"/>
        </w:rPr>
        <w:t>应急管理能力切实增强。</w:t>
      </w:r>
      <w:r>
        <w:rPr>
          <w:rFonts w:hint="eastAsia" w:ascii="仿宋_GB2312" w:hAnsi="仿宋_GB2312" w:eastAsia="仿宋_GB2312" w:cs="仿宋_GB2312"/>
          <w:sz w:val="32"/>
          <w:szCs w:val="32"/>
        </w:rPr>
        <w:t>平安办牵头全面排查整治安全生产隐患，全年排查商户</w:t>
      </w: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rPr>
        <w:t>家，发现并整改一般隐患</w:t>
      </w:r>
      <w:r>
        <w:rPr>
          <w:rFonts w:hint="eastAsia" w:ascii="仿宋_GB2312" w:hAnsi="仿宋_GB2312" w:eastAsia="仿宋_GB2312" w:cs="仿宋_GB2312"/>
          <w:sz w:val="32"/>
          <w:szCs w:val="32"/>
          <w:lang w:val="en-US" w:eastAsia="zh-CN"/>
        </w:rPr>
        <w:t>171</w:t>
      </w:r>
      <w:r>
        <w:rPr>
          <w:rFonts w:hint="eastAsia" w:ascii="仿宋_GB2312" w:hAnsi="仿宋_GB2312" w:eastAsia="仿宋_GB2312" w:cs="仿宋_GB2312"/>
          <w:sz w:val="32"/>
          <w:szCs w:val="32"/>
        </w:rPr>
        <w:t>处。组织指导开展各类应急演练</w:t>
      </w:r>
      <w:r>
        <w:rPr>
          <w:rFonts w:hint="eastAsia" w:ascii="仿宋_GB2312" w:hAnsi="仿宋_GB2312" w:eastAsia="仿宋_GB2312" w:cs="仿宋_GB2312"/>
          <w:sz w:val="32"/>
          <w:szCs w:val="32"/>
          <w:lang w:val="en-US" w:eastAsia="zh-CN"/>
        </w:rPr>
        <w:t>17场</w:t>
      </w:r>
      <w:r>
        <w:rPr>
          <w:rFonts w:hint="eastAsia" w:ascii="仿宋_GB2312" w:hAnsi="仿宋_GB2312" w:eastAsia="仿宋_GB2312" w:cs="仿宋_GB2312"/>
          <w:sz w:val="32"/>
          <w:szCs w:val="32"/>
        </w:rPr>
        <w:t>、安全培训</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场。加强安全宣传教育，发放各类宣传手册500余本，张贴海报200余份，群众安全意识和自救能力得到提升。</w:t>
      </w:r>
    </w:p>
    <w:p w14:paraId="4F1847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（四）聚焦普法宣传，弘扬社会主义法治精神，全民法治素养得到新提高</w:t>
      </w:r>
    </w:p>
    <w:p w14:paraId="0C5AD4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普法责任体系压实。</w:t>
      </w:r>
      <w:r>
        <w:rPr>
          <w:rFonts w:hint="eastAsia" w:ascii="仿宋_GB2312" w:hAnsi="仿宋_GB2312" w:eastAsia="仿宋_GB2312" w:cs="仿宋_GB2312"/>
          <w:sz w:val="32"/>
          <w:szCs w:val="32"/>
        </w:rPr>
        <w:t>制定普法依法治理工作要点及普法责任清单，明确镇直各部门、各单位的普法职责任务。将普法工作纳入法治建设考核，推动“谁执法谁普法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谁管理谁普法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谁服务谁普法”责任制落到实处。</w:t>
      </w:r>
      <w:r>
        <w:rPr>
          <w:rFonts w:hint="eastAsia" w:ascii="仿宋_GB2312" w:hAnsi="仿宋_GB2312" w:eastAsia="仿宋_GB2312" w:cs="仿宋_GB2312"/>
          <w:b/>
          <w:bCs/>
          <w:sz w:val="32"/>
          <w:szCs w:val="32"/>
        </w:rPr>
        <w:t>普法形式载体创新。</w:t>
      </w:r>
      <w:r>
        <w:rPr>
          <w:rFonts w:hint="eastAsia" w:ascii="仿宋_GB2312" w:hAnsi="仿宋_GB2312" w:eastAsia="仿宋_GB2312" w:cs="仿宋_GB2312"/>
          <w:sz w:val="32"/>
          <w:szCs w:val="32"/>
        </w:rPr>
        <w:t>在巩固传统宣传阵地（横幅、标语、宣传栏、宣传单）的基础上，积极运用微信公众号、村民微信群、乡村大喇叭、电子显示屏等新媒体、新载体开展普法。围绕宪法、民法典、乡村振兴促进法、反有组织犯罪法、防范电信网络诈骗等与群众生产生活密切相关的法律法规，</w:t>
      </w:r>
      <w:r>
        <w:rPr>
          <w:rFonts w:hint="eastAsia" w:ascii="仿宋_GB2312" w:hAnsi="仿宋_GB2312" w:eastAsia="仿宋_GB2312" w:cs="仿宋_GB2312"/>
          <w:sz w:val="32"/>
          <w:szCs w:val="32"/>
          <w:highlight w:val="none"/>
        </w:rPr>
        <w:t>组织开展“法治宣传月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宪法宣传周”等主题宣传活动</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场次。</w:t>
      </w:r>
      <w:r>
        <w:rPr>
          <w:rFonts w:hint="eastAsia" w:ascii="仿宋_GB2312" w:hAnsi="仿宋_GB2312" w:eastAsia="仿宋_GB2312" w:cs="仿宋_GB2312"/>
          <w:b/>
          <w:bCs/>
          <w:sz w:val="32"/>
          <w:szCs w:val="32"/>
        </w:rPr>
        <w:t>重点对象普法深化。</w:t>
      </w:r>
      <w:r>
        <w:rPr>
          <w:rFonts w:hint="eastAsia" w:ascii="仿宋_GB2312" w:hAnsi="仿宋_GB2312" w:eastAsia="仿宋_GB2312" w:cs="仿宋_GB2312"/>
          <w:b w:val="0"/>
          <w:bCs w:val="0"/>
          <w:sz w:val="32"/>
          <w:szCs w:val="32"/>
          <w:lang w:eastAsia="zh-CN"/>
        </w:rPr>
        <w:t>抓住领导干部这个“关键少数”</w:t>
      </w:r>
      <w:r>
        <w:rPr>
          <w:rFonts w:hint="eastAsia" w:ascii="仿宋_GB2312" w:hAnsi="仿宋_GB2312" w:eastAsia="仿宋_GB2312" w:cs="仿宋_GB2312"/>
          <w:b w:val="0"/>
          <w:bCs w:val="0"/>
          <w:sz w:val="32"/>
          <w:szCs w:val="32"/>
        </w:rPr>
        <w:t>，落实任前法律知识考试和年度考法制度。</w:t>
      </w:r>
      <w:r>
        <w:rPr>
          <w:rFonts w:hint="eastAsia" w:ascii="仿宋_GB2312" w:hAnsi="仿宋_GB2312" w:eastAsia="仿宋_GB2312" w:cs="仿宋_GB2312"/>
          <w:sz w:val="32"/>
          <w:szCs w:val="32"/>
        </w:rPr>
        <w:t>加强青少年法治教育，全镇</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所中小学校法治副校长配备率、法治课程开设率均达</w:t>
      </w:r>
      <w:r>
        <w:rPr>
          <w:rFonts w:hint="eastAsia" w:ascii="仿宋_GB2312" w:hAnsi="仿宋_GB2312" w:eastAsia="仿宋_GB2312" w:cs="仿宋_GB2312"/>
          <w:sz w:val="32"/>
          <w:szCs w:val="32"/>
          <w:highlight w:val="none"/>
        </w:rPr>
        <w:t>100%，开展“法治进校园”活动</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场。针对企业经营管理人员、农民工、老年人、妇女等群体，开展“送法进企业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农民工法治讲堂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关爱夕阳红·普法暖人心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妇女权益保障”等专项普法活动</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场。全年累计发放各类普法宣传资料</w:t>
      </w:r>
      <w:r>
        <w:rPr>
          <w:rFonts w:hint="eastAsia" w:ascii="仿宋_GB2312" w:hAnsi="仿宋_GB2312" w:eastAsia="仿宋_GB2312" w:cs="仿宋_GB2312"/>
          <w:sz w:val="32"/>
          <w:szCs w:val="32"/>
          <w:highlight w:val="none"/>
          <w:lang w:val="en-US" w:eastAsia="zh-CN"/>
        </w:rPr>
        <w:t>600余</w:t>
      </w:r>
      <w:r>
        <w:rPr>
          <w:rFonts w:hint="eastAsia" w:ascii="仿宋_GB2312" w:hAnsi="仿宋_GB2312" w:eastAsia="仿宋_GB2312" w:cs="仿宋_GB2312"/>
          <w:sz w:val="32"/>
          <w:szCs w:val="32"/>
          <w:highlight w:val="none"/>
        </w:rPr>
        <w:t>份，受教育群众达</w:t>
      </w:r>
      <w:r>
        <w:rPr>
          <w:rFonts w:hint="eastAsia" w:ascii="仿宋_GB2312" w:hAnsi="仿宋_GB2312" w:eastAsia="仿宋_GB2312" w:cs="仿宋_GB2312"/>
          <w:sz w:val="32"/>
          <w:szCs w:val="32"/>
          <w:highlight w:val="none"/>
          <w:lang w:val="en-US" w:eastAsia="zh-CN"/>
        </w:rPr>
        <w:t>6000余</w:t>
      </w:r>
      <w:r>
        <w:rPr>
          <w:rFonts w:hint="eastAsia" w:ascii="仿宋_GB2312" w:hAnsi="仿宋_GB2312" w:eastAsia="仿宋_GB2312" w:cs="仿宋_GB2312"/>
          <w:sz w:val="32"/>
          <w:szCs w:val="32"/>
          <w:highlight w:val="none"/>
        </w:rPr>
        <w:t>人次。</w:t>
      </w:r>
      <w:r>
        <w:rPr>
          <w:rFonts w:hint="eastAsia" w:ascii="仿宋_GB2312" w:hAnsi="仿宋_GB2312" w:eastAsia="仿宋_GB2312" w:cs="仿宋_GB2312"/>
          <w:b/>
          <w:bCs/>
          <w:sz w:val="32"/>
          <w:szCs w:val="32"/>
          <w:highlight w:val="none"/>
        </w:rPr>
        <w:t>法治文化建设加强。</w:t>
      </w:r>
      <w:r>
        <w:rPr>
          <w:rFonts w:hint="eastAsia" w:ascii="仿宋_GB2312" w:hAnsi="仿宋_GB2312" w:eastAsia="仿宋_GB2312" w:cs="仿宋_GB2312"/>
          <w:sz w:val="32"/>
          <w:szCs w:val="32"/>
          <w:highlight w:val="none"/>
        </w:rPr>
        <w:t>积极推进法治文化阵地“一地一品”建设，更新</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村法治宣传栏、法治文化墙</w:t>
      </w:r>
      <w:r>
        <w:rPr>
          <w:rFonts w:hint="eastAsia" w:ascii="仿宋_GB2312" w:hAnsi="仿宋_GB2312" w:eastAsia="仿宋_GB2312" w:cs="仿宋_GB2312"/>
          <w:sz w:val="32"/>
          <w:szCs w:val="32"/>
          <w:highlight w:val="none"/>
          <w:lang w:val="en-US" w:eastAsia="zh-CN"/>
        </w:rPr>
        <w:t>等设施4</w:t>
      </w:r>
      <w:r>
        <w:rPr>
          <w:rFonts w:hint="eastAsia" w:ascii="仿宋_GB2312" w:hAnsi="仿宋_GB2312" w:eastAsia="仿宋_GB2312" w:cs="仿宋_GB2312"/>
          <w:sz w:val="32"/>
          <w:szCs w:val="32"/>
          <w:highlight w:val="none"/>
        </w:rPr>
        <w:t>处。培育选树“法治家庭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守法诚信商户”等先进典型，培育“法律明白人”</w:t>
      </w:r>
      <w:r>
        <w:rPr>
          <w:rFonts w:hint="eastAsia" w:ascii="仿宋_GB2312" w:hAnsi="仿宋_GB2312" w:eastAsia="仿宋_GB2312" w:cs="仿宋_GB2312"/>
          <w:sz w:val="32"/>
          <w:szCs w:val="32"/>
          <w:highlight w:val="none"/>
          <w:lang w:val="en-US" w:eastAsia="zh-CN"/>
        </w:rPr>
        <w:t>56</w:t>
      </w:r>
      <w:r>
        <w:rPr>
          <w:rFonts w:hint="eastAsia" w:ascii="仿宋_GB2312" w:hAnsi="仿宋_GB2312" w:eastAsia="仿宋_GB2312" w:cs="仿宋_GB2312"/>
          <w:sz w:val="32"/>
          <w:szCs w:val="32"/>
          <w:highlight w:val="none"/>
        </w:rPr>
        <w:t>名，开展培训</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场次，</w:t>
      </w:r>
      <w:r>
        <w:rPr>
          <w:rFonts w:hint="eastAsia" w:ascii="仿宋_GB2312" w:hAnsi="仿宋_GB2312" w:eastAsia="仿宋_GB2312" w:cs="仿宋_GB2312"/>
          <w:sz w:val="32"/>
          <w:szCs w:val="32"/>
        </w:rPr>
        <w:t>发挥其在基层普法和治理中的示范作用。发挥示范引领作用。</w:t>
      </w:r>
    </w:p>
    <w:p w14:paraId="5753BD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（五）聚焦权力监督，构建严密监督体系，行政权力运行展现新气象</w:t>
      </w:r>
    </w:p>
    <w:p w14:paraId="4432E3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内部监督持续强化</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加强对规范性文件的备案审查和清理工作，确保政令统一和法制统一。自觉接受人大法律监督和工作监督，认真办理人大代表议案建议</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件</w:t>
      </w:r>
      <w:r>
        <w:rPr>
          <w:rFonts w:hint="eastAsia" w:ascii="仿宋_GB2312" w:hAnsi="仿宋_GB2312" w:eastAsia="仿宋_GB2312" w:cs="仿宋_GB2312"/>
          <w:sz w:val="32"/>
          <w:szCs w:val="32"/>
        </w:rPr>
        <w:t>。主动接受政协民主监督，办理政协提案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件。完善审计监督，对重点领域、重点项目、重点资金进行审计。</w:t>
      </w:r>
      <w:r>
        <w:rPr>
          <w:rFonts w:hint="eastAsia" w:ascii="仿宋_GB2312" w:hAnsi="仿宋_GB2312" w:eastAsia="仿宋_GB2312" w:cs="仿宋_GB2312"/>
          <w:b/>
          <w:bCs/>
          <w:sz w:val="32"/>
          <w:szCs w:val="32"/>
        </w:rPr>
        <w:t>外部监督渠道畅通。</w:t>
      </w:r>
      <w:r>
        <w:rPr>
          <w:rFonts w:hint="eastAsia" w:ascii="仿宋_GB2312" w:hAnsi="仿宋_GB2312" w:eastAsia="仿宋_GB2312" w:cs="仿宋_GB2312"/>
          <w:sz w:val="32"/>
          <w:szCs w:val="32"/>
        </w:rPr>
        <w:t>全面推进政务公开，依法主动公开政府信息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自觉接受司法监督，认真履行法院生效裁判，落实行政机关负责人出庭应诉制度，全年负责人出庭应诉率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%。畅通群众监督和舆论监督渠道，及时回应社会关切。</w:t>
      </w:r>
      <w:r>
        <w:rPr>
          <w:rFonts w:hint="eastAsia" w:ascii="仿宋_GB2312" w:hAnsi="仿宋_GB2312" w:eastAsia="仿宋_GB2312" w:cs="仿宋_GB2312"/>
          <w:b/>
          <w:bCs/>
          <w:sz w:val="32"/>
          <w:szCs w:val="32"/>
        </w:rPr>
        <w:t>层级监督指导有力。</w:t>
      </w:r>
      <w:r>
        <w:rPr>
          <w:rFonts w:hint="eastAsia" w:ascii="仿宋_GB2312" w:hAnsi="仿宋_GB2312" w:eastAsia="仿宋_GB2312" w:cs="仿宋_GB2312"/>
          <w:sz w:val="32"/>
          <w:szCs w:val="32"/>
        </w:rPr>
        <w:t>积极配合上级部门开展的法治政府建设督察、考核、评估等工作，对反馈问题照单全收、立行立改。加强对镇直各部门、各行政村法治建设的指导、督促和检查，及时发现并纠正工作中存在的偏差和不足。</w:t>
      </w:r>
    </w:p>
    <w:p w14:paraId="23574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三、2025年推进法治政府建设存在的不足、原因和问题整改情况</w:t>
      </w:r>
    </w:p>
    <w:p w14:paraId="28E73D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在总结成绩的同时，我们也清醒地认识到，对标中央和省、市、县的高标准、严要求，对照人民群众的新期待，我镇法治政府建设还存在一些薄弱环节和亟待改进之处：</w:t>
      </w:r>
    </w:p>
    <w:p w14:paraId="0F8EEF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（一）主要不足及原因分析</w:t>
      </w:r>
    </w:p>
    <w:p w14:paraId="27E731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法治队伍建设有短板。</w:t>
      </w:r>
      <w:r>
        <w:rPr>
          <w:rFonts w:hint="eastAsia" w:ascii="仿宋_GB2312" w:hAnsi="仿宋_GB2312" w:eastAsia="仿宋_GB2312" w:cs="仿宋_GB2312"/>
          <w:sz w:val="32"/>
          <w:szCs w:val="32"/>
          <w:lang w:eastAsia="zh-CN"/>
        </w:rPr>
        <w:t>具有法律专业背景或通过法考人员比例低，村（社区）法治力量薄弱；部分执法人员法治思维和服务型执法理念不足；法律顾问作用发挥有限，“顾而不问”等现象存在。原因是基层引进留住人才难、执法培训需加强、顾问参与决策机制有待完善。</w:t>
      </w:r>
      <w:r>
        <w:rPr>
          <w:rFonts w:hint="eastAsia" w:ascii="仿宋_GB2312" w:hAnsi="仿宋_GB2312" w:eastAsia="仿宋_GB2312" w:cs="仿宋_GB2312"/>
          <w:b/>
          <w:bCs/>
          <w:sz w:val="32"/>
          <w:szCs w:val="32"/>
          <w:lang w:eastAsia="zh-CN"/>
        </w:rPr>
        <w:t>普法宣传实效待提升。</w:t>
      </w:r>
      <w:r>
        <w:rPr>
          <w:rFonts w:hint="eastAsia" w:ascii="仿宋_GB2312" w:hAnsi="仿宋_GB2312" w:eastAsia="仿宋_GB2312" w:cs="仿宋_GB2312"/>
          <w:sz w:val="32"/>
          <w:szCs w:val="32"/>
          <w:lang w:eastAsia="zh-CN"/>
        </w:rPr>
        <w:t>精准性和针对性不足，对偏远村组等群体覆盖</w:t>
      </w:r>
      <w:r>
        <w:rPr>
          <w:rFonts w:hint="eastAsia" w:ascii="仿宋_GB2312" w:hAnsi="仿宋_GB2312" w:eastAsia="仿宋_GB2312" w:cs="仿宋_GB2312"/>
          <w:sz w:val="32"/>
          <w:szCs w:val="32"/>
          <w:lang w:val="en-US" w:eastAsia="zh-CN"/>
        </w:rPr>
        <w:t>有盲区；宣传形式创新不够，互动体验式普法运用少，群众参与度和获得感低；与基层治理等融合不紧密。原因是普法资源有限、对普法规律研究不深、部门协同联动机制有待优化。</w:t>
      </w:r>
      <w:r>
        <w:rPr>
          <w:rFonts w:hint="eastAsia" w:ascii="仿宋_GB2312" w:hAnsi="仿宋_GB2312" w:eastAsia="仿宋_GB2312" w:cs="仿宋_GB2312"/>
          <w:b/>
          <w:bCs/>
          <w:sz w:val="32"/>
          <w:szCs w:val="32"/>
          <w:lang w:val="en-US" w:eastAsia="zh-CN"/>
        </w:rPr>
        <w:t>法治与中心工作融合深度不足。</w:t>
      </w:r>
      <w:r>
        <w:rPr>
          <w:rFonts w:hint="eastAsia" w:ascii="仿宋_GB2312" w:hAnsi="仿宋_GB2312" w:eastAsia="仿宋_GB2312" w:cs="仿宋_GB2312"/>
          <w:sz w:val="32"/>
          <w:szCs w:val="32"/>
          <w:lang w:val="en-US" w:eastAsia="zh-CN"/>
        </w:rPr>
        <w:t xml:space="preserve">运用法治方式服务营商环境等前瞻性系统性研究不够；法治成果转化为治理效能机制不畅，对高质量发展作用有待彰显。原因是对法治服务大局认识需深化、法治与业务工作“两张皮”问题待破解。 </w:t>
      </w:r>
    </w:p>
    <w:p w14:paraId="60E0590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8" w:leftChars="304" w:firstLine="0" w:firstLineChars="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问题整改情况</w:t>
      </w:r>
    </w:p>
    <w:p w14:paraId="7F4A5F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仿宋_GB2312" w:hAnsi="仿宋_GB2312" w:eastAsia="仿宋_GB2312" w:cs="仿宋_GB2312"/>
          <w:sz w:val="32"/>
          <w:szCs w:val="32"/>
          <w:lang w:eastAsia="zh-CN"/>
        </w:rPr>
        <w:t>针对上述问题，镇党委、政府高度重视，坚持问题导向，制定整改方案，明确责任分工与时限要求，推动整改落实。</w:t>
      </w:r>
      <w:r>
        <w:rPr>
          <w:rFonts w:hint="eastAsia" w:ascii="仿宋_GB2312" w:hAnsi="仿宋_GB2312" w:eastAsia="仿宋_GB2312" w:cs="仿宋_GB2312"/>
          <w:b/>
          <w:bCs/>
          <w:sz w:val="32"/>
          <w:szCs w:val="32"/>
          <w:lang w:eastAsia="zh-CN"/>
        </w:rPr>
        <w:t>针对队伍建设短板，</w:t>
      </w:r>
      <w:r>
        <w:rPr>
          <w:rFonts w:hint="eastAsia" w:ascii="仿宋_GB2312" w:hAnsi="仿宋_GB2312" w:eastAsia="仿宋_GB2312" w:cs="仿宋_GB2312"/>
          <w:sz w:val="32"/>
          <w:szCs w:val="32"/>
          <w:lang w:eastAsia="zh-CN"/>
        </w:rPr>
        <w:t>已启动基层法治人才培养计划，拟通过定向招录、在职培训、与高校合作等充实力量</w:t>
      </w:r>
      <w:r>
        <w:rPr>
          <w:rFonts w:hint="eastAsia" w:ascii="仿宋_GB2312" w:hAnsi="仿宋_GB2312" w:eastAsia="仿宋_GB2312" w:cs="仿宋_GB2312"/>
          <w:sz w:val="32"/>
          <w:szCs w:val="32"/>
          <w:lang w:val="en-US" w:eastAsia="zh-CN"/>
        </w:rPr>
        <w:t>，增加执法人员案例教学和实战模拟比重；优化法律顾问聘用管理办法，明确其参与重大决策等要求，建立考核机制。</w:t>
      </w:r>
      <w:r>
        <w:rPr>
          <w:rFonts w:hint="eastAsia" w:ascii="仿宋_GB2312" w:hAnsi="仿宋_GB2312" w:eastAsia="仿宋_GB2312" w:cs="仿宋_GB2312"/>
          <w:b/>
          <w:bCs/>
          <w:sz w:val="32"/>
          <w:szCs w:val="32"/>
          <w:lang w:val="en-US" w:eastAsia="zh-CN"/>
        </w:rPr>
        <w:t>针对普法实效问题，</w:t>
      </w:r>
      <w:r>
        <w:rPr>
          <w:rFonts w:hint="eastAsia" w:ascii="仿宋_GB2312" w:hAnsi="仿宋_GB2312" w:eastAsia="仿宋_GB2312" w:cs="仿宋_GB2312"/>
          <w:sz w:val="32"/>
          <w:szCs w:val="32"/>
          <w:lang w:val="en-US" w:eastAsia="zh-CN"/>
        </w:rPr>
        <w:t>正编制分层分类普法指引，开发适合不同群体的普法产品，探索“普法+互联网+志愿服务”模式，利用新时代文明实践站开展嵌入式普法，加强普法责任制落实检查通报。</w:t>
      </w:r>
      <w:r>
        <w:rPr>
          <w:rFonts w:hint="eastAsia" w:ascii="仿宋_GB2312" w:hAnsi="仿宋_GB2312" w:eastAsia="仿宋_GB2312" w:cs="仿宋_GB2312"/>
          <w:b/>
          <w:bCs/>
          <w:sz w:val="32"/>
          <w:szCs w:val="32"/>
          <w:lang w:val="en-US" w:eastAsia="zh-CN"/>
        </w:rPr>
        <w:t>针对融合深度问题，</w:t>
      </w:r>
      <w:r>
        <w:rPr>
          <w:rFonts w:hint="eastAsia" w:ascii="仿宋_GB2312" w:hAnsi="仿宋_GB2312" w:eastAsia="仿宋_GB2312" w:cs="仿宋_GB2312"/>
          <w:sz w:val="32"/>
          <w:szCs w:val="32"/>
          <w:lang w:val="en-US" w:eastAsia="zh-CN"/>
        </w:rPr>
        <w:t xml:space="preserve">将“法治环境优化”纳入镇党委重点调研课题，建立健全重大决策、项目法治风险评估机制，推动法治建设指标融入高质量发展综合考核体系。 </w:t>
      </w:r>
    </w:p>
    <w:p w14:paraId="47C4F1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目前，各项整改措施正在有序推进中，部分已取得初步成效，我们将持续跟踪问效，确保问题整改到位。</w:t>
      </w:r>
    </w:p>
    <w:p w14:paraId="31CFE9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四、2026年推进法治政府建设的初步安排</w:t>
      </w:r>
    </w:p>
    <w:p w14:paraId="2A2F18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2026年，我镇将坚持以习近平法治思想为指导，全面贯彻落实党的二十大精神及历次全会精神，紧紧围绕县委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县政府的谋篇布局</w:t>
      </w:r>
      <w:r>
        <w:rPr>
          <w:rFonts w:hint="eastAsia" w:ascii="仿宋_GB2312" w:hAnsi="仿宋_GB2312" w:eastAsia="仿宋_GB2312" w:cs="仿宋_GB2312"/>
          <w:sz w:val="32"/>
          <w:szCs w:val="32"/>
        </w:rPr>
        <w:t>，锚定法治政府建设目标，补短板、强弱项、固底板、扬优势，努力推动我镇法治政府建设再上新台阶。</w:t>
      </w:r>
    </w:p>
    <w:p w14:paraId="095CAB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（一）持续强化思想引领，在学懂弄通做实习近平法治思想上再深化</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把深入学习贯彻习近平法治思想作为长期政治任务，纳入党员干部学习教育总体规划，推动学习宣传贯彻往深里走、往实里走、往心里走。发挥镇党委理论学习中心组示范作用，带动全镇上下自觉做习近平法治思想的坚定信仰者、积极传播者、模范实践者。</w:t>
      </w:r>
    </w:p>
    <w:p w14:paraId="68FAB2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（二）持续规范权力运行，在提升依法行政水平上再发力。</w:t>
      </w:r>
      <w:r>
        <w:rPr>
          <w:rFonts w:hint="eastAsia" w:ascii="仿宋_GB2312" w:hAnsi="仿宋_GB2312" w:eastAsia="仿宋_GB2312" w:cs="仿宋_GB2312"/>
          <w:sz w:val="32"/>
          <w:szCs w:val="32"/>
        </w:rPr>
        <w:t>完善重大行政决策程序制度，强化决策执行和后评估。加强行政规范性文件全生命周期管理。</w:t>
      </w:r>
      <w:r>
        <w:rPr>
          <w:rFonts w:hint="eastAsia" w:ascii="仿宋_GB2312" w:hAnsi="仿宋_GB2312" w:eastAsia="仿宋_GB2312" w:cs="仿宋_GB2312"/>
          <w:sz w:val="32"/>
          <w:szCs w:val="32"/>
          <w:highlight w:val="none"/>
        </w:rPr>
        <w:t>全面</w:t>
      </w:r>
      <w:r>
        <w:rPr>
          <w:rFonts w:hint="eastAsia" w:ascii="仿宋_GB2312" w:hAnsi="仿宋_GB2312" w:eastAsia="仿宋_GB2312" w:cs="仿宋_GB2312"/>
          <w:sz w:val="32"/>
          <w:szCs w:val="32"/>
          <w:highlight w:val="none"/>
          <w:lang w:val="en-US" w:eastAsia="zh-CN"/>
        </w:rPr>
        <w:t>巩固</w:t>
      </w:r>
      <w:r>
        <w:rPr>
          <w:rFonts w:hint="eastAsia" w:ascii="仿宋_GB2312" w:hAnsi="仿宋_GB2312" w:eastAsia="仿宋_GB2312" w:cs="仿宋_GB2312"/>
          <w:sz w:val="32"/>
          <w:szCs w:val="32"/>
          <w:highlight w:val="none"/>
        </w:rPr>
        <w:t>行政执法质量三年行动</w:t>
      </w:r>
      <w:r>
        <w:rPr>
          <w:rFonts w:hint="eastAsia" w:ascii="仿宋_GB2312" w:hAnsi="仿宋_GB2312" w:eastAsia="仿宋_GB2312" w:cs="仿宋_GB2312"/>
          <w:sz w:val="32"/>
          <w:szCs w:val="32"/>
          <w:highlight w:val="none"/>
          <w:lang w:val="en-US" w:eastAsia="zh-CN"/>
        </w:rPr>
        <w:t>成果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深入推进严格规范公正文明执法，全面落实行政执法“三项制度”，加强行政执法监督，规范行政执法裁量权。持续打造市场化、法治化、国际化一流营商环境。</w:t>
      </w:r>
    </w:p>
    <w:p w14:paraId="09B9F8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（三）持续夯实基层基础，在推进社会治理法治化上再创新。</w:t>
      </w:r>
      <w:r>
        <w:rPr>
          <w:rFonts w:hint="eastAsia" w:ascii="仿宋_GB2312" w:hAnsi="仿宋_GB2312" w:eastAsia="仿宋_GB2312" w:cs="仿宋_GB2312"/>
          <w:sz w:val="32"/>
          <w:szCs w:val="32"/>
        </w:rPr>
        <w:t>坚持和发展新时代“枫桥经验”，</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完善社会矛盾纠纷多元预防调处化解综合机制。加强镇村两级社会治理</w:t>
      </w:r>
      <w:r>
        <w:rPr>
          <w:rFonts w:hint="eastAsia" w:ascii="仿宋_GB2312" w:hAnsi="仿宋_GB2312" w:eastAsia="仿宋_GB2312" w:cs="仿宋_GB2312"/>
          <w:sz w:val="32"/>
          <w:szCs w:val="32"/>
          <w:lang w:val="en-US" w:eastAsia="zh-CN"/>
        </w:rPr>
        <w:t>室</w:t>
      </w:r>
      <w:r>
        <w:rPr>
          <w:rFonts w:hint="eastAsia" w:ascii="仿宋_GB2312" w:hAnsi="仿宋_GB2312" w:eastAsia="仿宋_GB2312" w:cs="仿宋_GB2312"/>
          <w:sz w:val="32"/>
          <w:szCs w:val="32"/>
        </w:rPr>
        <w:t>规范化建设。深化“民主法治示范村”创建，提升基层依法治理能力。健全公共法律服务体系，推动法律服务资源向基层延伸。加强法治乡村建设，助力乡村振兴。</w:t>
      </w:r>
    </w:p>
    <w:p w14:paraId="6BA3D6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（四）持续深化普法宣传，在营造浓厚法治氛围上再出彩。</w:t>
      </w:r>
      <w:r>
        <w:rPr>
          <w:rFonts w:hint="eastAsia" w:ascii="仿宋_GB2312" w:hAnsi="仿宋_GB2312" w:eastAsia="仿宋_GB2312" w:cs="仿宋_GB2312"/>
          <w:sz w:val="32"/>
          <w:szCs w:val="32"/>
        </w:rPr>
        <w:t>认真组织实施“八五”普法规划，全面落实“谁执法谁普法”普法责任制。创新普法方式，拓展普法阵地，增强普法工作的针对性、实效性和感染力。加强领导干部、青少年等重点对象法治教育。繁荣发展社会主义法治文化，使法治成为社会共识和基本准则。</w:t>
      </w:r>
    </w:p>
    <w:p w14:paraId="1DF6EB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（五）持续加强监督保障，在压实法治建设责任上再严格。</w:t>
      </w:r>
      <w:r>
        <w:rPr>
          <w:rFonts w:hint="eastAsia" w:ascii="仿宋_GB2312" w:hAnsi="仿宋_GB2312" w:eastAsia="仿宋_GB2312" w:cs="仿宋_GB2312"/>
          <w:sz w:val="32"/>
          <w:szCs w:val="32"/>
        </w:rPr>
        <w:t>健全法治政府建设督察、考核、评估、问责机制。自觉接受党内监督、人大监督、民主监督、司法监督、群众监督、舆论监督。全面推进政务公开，让权力在阳光下运行。加强法治工作队伍建设，打造一支德才兼备的高素质法治工作队伍。</w:t>
      </w:r>
    </w:p>
    <w:p w14:paraId="41A24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新征程上，卜塔集镇党委</w:t>
      </w:r>
      <w:bookmarkStart w:id="0" w:name="_GoBack"/>
      <w:bookmarkEnd w:id="0"/>
      <w:r>
        <w:rPr>
          <w:rFonts w:hint="eastAsia" w:ascii="仿宋_GB2312" w:hAnsi="仿宋_GB2312" w:eastAsia="仿宋_GB2312" w:cs="仿宋_GB2312"/>
          <w:sz w:val="32"/>
          <w:szCs w:val="32"/>
        </w:rPr>
        <w:t>、政府将团结带领全镇广大干部群众，以更加坚定的决心、更加务实的作风、更加有力的举措，踔厉奋发、笃行不怠，奋力开创法治政府建设新局面，为谱写现代化美好潢川建设新篇章贡献卜集力量！</w:t>
      </w:r>
    </w:p>
    <w:p w14:paraId="1534AF1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F9FB40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05C6F9B"/>
    <w:p w14:paraId="3BEA37E3"/>
    <w:p w14:paraId="32B785D3"/>
    <w:p w14:paraId="403286B4"/>
    <w:p w14:paraId="21D77521"/>
    <w:p w14:paraId="746FC059"/>
    <w:p w14:paraId="00F2C7BF"/>
    <w:p w14:paraId="65EBBE58"/>
    <w:p w14:paraId="56F8B9B5"/>
    <w:p w14:paraId="3BE6B2B6"/>
    <w:p w14:paraId="5A72A6D2"/>
    <w:p w14:paraId="30FE2C8E"/>
    <w:p w14:paraId="470E1541"/>
    <w:p w14:paraId="070444AF"/>
    <w:p w14:paraId="5E8213E0"/>
    <w:p w14:paraId="3555D0B7"/>
    <w:p w14:paraId="2C4E0E1A"/>
    <w:p w14:paraId="6B82D9C4">
      <w:pPr>
        <w:pStyle w:val="7"/>
        <w:ind w:left="0" w:leftChars="0" w:firstLine="0" w:firstLineChars="0"/>
        <w:rPr>
          <w:rFonts w:hint="default" w:ascii="仿宋_GB2312" w:hAnsi="仿宋_GB2312" w:eastAsia="仿宋_GB2312" w:cs="仿宋_GB2312"/>
          <w:sz w:val="32"/>
          <w:szCs w:val="20"/>
          <w:lang w:val="en-US" w:eastAsia="zh-CN"/>
        </w:rPr>
      </w:pPr>
    </w:p>
    <w:tbl>
      <w:tblPr>
        <w:tblStyle w:val="8"/>
        <w:tblpPr w:leftFromText="180" w:rightFromText="180" w:vertAnchor="text" w:horzAnchor="page" w:tblpX="1742" w:tblpY="50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346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single" w:color="auto" w:sz="4" w:space="0"/>
              <w:right w:val="nil"/>
            </w:tcBorders>
            <w:noWrap w:val="0"/>
            <w:vAlign w:val="center"/>
          </w:tcPr>
          <w:p w14:paraId="745B1004">
            <w:pPr>
              <w:spacing w:line="560" w:lineRule="exac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抄送：中共</w:t>
            </w:r>
            <w:r>
              <w:rPr>
                <w:rFonts w:hint="eastAsia" w:ascii="仿宋_GB2312" w:hAnsi="仿宋_GB2312" w:eastAsia="仿宋_GB2312" w:cs="仿宋_GB2312"/>
                <w:color w:val="000000"/>
                <w:spacing w:val="8"/>
                <w:sz w:val="32"/>
                <w:szCs w:val="32"/>
                <w:lang w:eastAsia="zh-CN"/>
              </w:rPr>
              <w:t>潢川县</w:t>
            </w:r>
            <w:r>
              <w:rPr>
                <w:rFonts w:hint="eastAsia" w:ascii="仿宋_GB2312" w:hAnsi="仿宋_GB2312" w:eastAsia="仿宋_GB2312" w:cs="仿宋_GB2312"/>
                <w:color w:val="000000"/>
                <w:spacing w:val="8"/>
                <w:sz w:val="32"/>
                <w:szCs w:val="32"/>
              </w:rPr>
              <w:t>委全面依法治</w:t>
            </w:r>
            <w:r>
              <w:rPr>
                <w:rFonts w:hint="eastAsia" w:ascii="仿宋_GB2312" w:hAnsi="仿宋_GB2312" w:eastAsia="仿宋_GB2312" w:cs="仿宋_GB2312"/>
                <w:color w:val="000000"/>
                <w:spacing w:val="8"/>
                <w:sz w:val="32"/>
                <w:szCs w:val="32"/>
                <w:lang w:eastAsia="zh-CN"/>
              </w:rPr>
              <w:t>县</w:t>
            </w:r>
            <w:r>
              <w:rPr>
                <w:rFonts w:hint="eastAsia" w:ascii="仿宋_GB2312" w:hAnsi="仿宋_GB2312" w:eastAsia="仿宋_GB2312" w:cs="仿宋_GB2312"/>
                <w:color w:val="000000"/>
                <w:spacing w:val="8"/>
                <w:sz w:val="32"/>
                <w:szCs w:val="32"/>
              </w:rPr>
              <w:t>委员会办公室</w:t>
            </w:r>
          </w:p>
        </w:tc>
      </w:tr>
      <w:tr w14:paraId="0B42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nil"/>
              <w:right w:val="nil"/>
            </w:tcBorders>
            <w:noWrap w:val="0"/>
            <w:vAlign w:val="center"/>
          </w:tcPr>
          <w:p w14:paraId="4156015E">
            <w:pPr>
              <w:spacing w:line="560" w:lineRule="exac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卜塔集镇党政办</w:t>
            </w:r>
            <w:r>
              <w:rPr>
                <w:rFonts w:hint="eastAsia" w:ascii="仿宋_GB2312" w:hAnsi="仿宋_GB2312" w:eastAsia="仿宋_GB2312" w:cs="仿宋_GB2312"/>
                <w:color w:val="000000"/>
                <w:spacing w:val="8"/>
                <w:sz w:val="32"/>
                <w:szCs w:val="32"/>
              </w:rPr>
              <w:t xml:space="preserve">            </w:t>
            </w:r>
            <w:r>
              <w:rPr>
                <w:rFonts w:hint="eastAsia" w:ascii="仿宋_GB2312" w:hAnsi="仿宋_GB2312" w:eastAsia="仿宋_GB2312" w:cs="仿宋_GB2312"/>
                <w:color w:val="000000"/>
                <w:spacing w:val="8"/>
                <w:sz w:val="32"/>
                <w:szCs w:val="32"/>
                <w:lang w:val="en-US" w:eastAsia="zh-CN"/>
              </w:rPr>
              <w:t xml:space="preserve">    </w:t>
            </w:r>
            <w:r>
              <w:rPr>
                <w:rFonts w:hint="eastAsia" w:ascii="仿宋_GB2312" w:hAnsi="仿宋_GB2312" w:eastAsia="仿宋_GB2312" w:cs="仿宋_GB2312"/>
                <w:color w:val="000000"/>
                <w:spacing w:val="8"/>
                <w:sz w:val="32"/>
                <w:szCs w:val="32"/>
              </w:rPr>
              <w:t>202</w:t>
            </w:r>
            <w:r>
              <w:rPr>
                <w:rFonts w:hint="eastAsia" w:ascii="仿宋_GB2312" w:hAnsi="仿宋_GB2312" w:eastAsia="仿宋_GB2312" w:cs="仿宋_GB2312"/>
                <w:color w:val="000000"/>
                <w:spacing w:val="8"/>
                <w:sz w:val="32"/>
                <w:szCs w:val="32"/>
                <w:lang w:val="en-US" w:eastAsia="zh-CN"/>
              </w:rPr>
              <w:t>5</w:t>
            </w:r>
            <w:r>
              <w:rPr>
                <w:rFonts w:hint="eastAsia" w:ascii="仿宋_GB2312" w:hAnsi="仿宋_GB2312" w:eastAsia="仿宋_GB2312" w:cs="仿宋_GB2312"/>
                <w:color w:val="000000"/>
                <w:spacing w:val="8"/>
                <w:sz w:val="32"/>
                <w:szCs w:val="32"/>
              </w:rPr>
              <w:t>年</w:t>
            </w:r>
            <w:r>
              <w:rPr>
                <w:rFonts w:hint="eastAsia" w:ascii="仿宋_GB2312" w:hAnsi="仿宋_GB2312" w:eastAsia="仿宋_GB2312" w:cs="仿宋_GB2312"/>
                <w:color w:val="000000"/>
                <w:spacing w:val="8"/>
                <w:sz w:val="32"/>
                <w:szCs w:val="32"/>
                <w:lang w:val="en-US" w:eastAsia="zh-CN"/>
              </w:rPr>
              <w:t>12</w:t>
            </w:r>
            <w:r>
              <w:rPr>
                <w:rFonts w:hint="eastAsia" w:ascii="仿宋_GB2312" w:hAnsi="仿宋_GB2312" w:eastAsia="仿宋_GB2312" w:cs="仿宋_GB2312"/>
                <w:color w:val="000000"/>
                <w:spacing w:val="8"/>
                <w:sz w:val="32"/>
                <w:szCs w:val="32"/>
              </w:rPr>
              <w:t>月</w:t>
            </w:r>
            <w:r>
              <w:rPr>
                <w:rFonts w:hint="eastAsia" w:ascii="仿宋_GB2312" w:hAnsi="仿宋_GB2312" w:eastAsia="仿宋_GB2312" w:cs="仿宋_GB2312"/>
                <w:color w:val="000000"/>
                <w:spacing w:val="8"/>
                <w:sz w:val="32"/>
                <w:szCs w:val="32"/>
                <w:lang w:val="en-US" w:eastAsia="zh-CN"/>
              </w:rPr>
              <w:t>8</w:t>
            </w:r>
            <w:r>
              <w:rPr>
                <w:rFonts w:hint="eastAsia" w:ascii="仿宋_GB2312" w:hAnsi="仿宋_GB2312" w:eastAsia="仿宋_GB2312" w:cs="仿宋_GB2312"/>
                <w:color w:val="000000"/>
                <w:spacing w:val="8"/>
                <w:sz w:val="32"/>
                <w:szCs w:val="32"/>
              </w:rPr>
              <w:t xml:space="preserve">日印发 </w:t>
            </w:r>
          </w:p>
        </w:tc>
      </w:tr>
    </w:tbl>
    <w:p w14:paraId="59889066"/>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C42A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7F89F">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77F89F">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DB4C33"/>
    <w:multiLevelType w:val="singleLevel"/>
    <w:tmpl w:val="F0DB4C33"/>
    <w:lvl w:ilvl="0" w:tentative="0">
      <w:start w:val="2"/>
      <w:numFmt w:val="chineseCounting"/>
      <w:suff w:val="nothing"/>
      <w:lvlText w:val="（%1）"/>
      <w:lvlJc w:val="left"/>
      <w:rPr>
        <w:rFonts w:hint="eastAsia"/>
      </w:rPr>
    </w:lvl>
  </w:abstractNum>
  <w:abstractNum w:abstractNumId="1">
    <w:nsid w:val="515A6377"/>
    <w:multiLevelType w:val="singleLevel"/>
    <w:tmpl w:val="515A6377"/>
    <w:lvl w:ilvl="0" w:tentative="0">
      <w:start w:val="1"/>
      <w:numFmt w:val="chineseCounting"/>
      <w:pStyle w:val="3"/>
      <w:suff w:val="nothing"/>
      <w:lvlText w:val="%1、"/>
      <w:lvlJc w:val="left"/>
      <w:pPr>
        <w:ind w:firstLine="420"/>
      </w:pPr>
      <w:rPr>
        <w:rFonts w:hint="eastAsia" w:eastAsia="仿宋_GB2312" w:cs="Times New Roman"/>
        <w:sz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4662A"/>
    <w:rsid w:val="00290E1D"/>
    <w:rsid w:val="00DD1ACB"/>
    <w:rsid w:val="07C343AA"/>
    <w:rsid w:val="09F01AF3"/>
    <w:rsid w:val="11213EA8"/>
    <w:rsid w:val="1AC53DFF"/>
    <w:rsid w:val="244C4731"/>
    <w:rsid w:val="32AE71B3"/>
    <w:rsid w:val="33A43315"/>
    <w:rsid w:val="42F4662A"/>
    <w:rsid w:val="4B9A5CD8"/>
    <w:rsid w:val="58762F54"/>
    <w:rsid w:val="5ED02EE2"/>
    <w:rsid w:val="60F14AE7"/>
    <w:rsid w:val="670A1B0C"/>
    <w:rsid w:val="6B5F36B0"/>
    <w:rsid w:val="6D23198F"/>
    <w:rsid w:val="75810342"/>
    <w:rsid w:val="79003D12"/>
    <w:rsid w:val="79AD6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lang w:val="zh-CN" w:bidi="zh-CN"/>
    </w:rPr>
  </w:style>
  <w:style w:type="paragraph" w:styleId="3">
    <w:name w:val="Body Text Indent"/>
    <w:basedOn w:val="1"/>
    <w:qFormat/>
    <w:uiPriority w:val="99"/>
    <w:pPr>
      <w:numPr>
        <w:ilvl w:val="0"/>
        <w:numId w:val="1"/>
      </w:num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Body Text First Indent 2"/>
    <w:basedOn w:val="3"/>
    <w:qFormat/>
    <w:uiPriority w:val="99"/>
    <w:pPr>
      <w:numPr>
        <w:ilvl w:val="0"/>
        <w:numId w:val="0"/>
      </w:numPr>
      <w:ind w:left="420" w:leftChars="200" w:firstLine="420" w:firstLineChars="200"/>
    </w:p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3703afa0-2e78-463a-ae73-9ea2cd9b0fd2</errorID>
      <errorWord>》</errorWord>
      <group>L1_Word</group>
      <groupName>字词问题</groupName>
      <ability>L2_Typo</ability>
      <abilityName>字词错误</abilityName>
      <candidateList>
        <item>》等</item>
      </candidateList>
      <explain/>
      <paraID> ABB3DFD</paraID>
      <start>65</start>
      <end>66</end>
      <status>unmodified</status>
      <modifiedWord/>
      <trackRevisions>false</trackRevisions>
    </reviewItem>
    <reviewItem>
      <errorID>5f70ecf5-7cad-4fcb-8bd1-769d2e0d58bd</errorID>
      <errorWord>制</errorWord>
      <group>L1_Word</group>
      <groupName>字词问题</groupName>
      <ability>L2_Typo</ability>
      <abilityName>字词错误</abilityName>
      <candidateList>
        <item>制有</item>
      </candidateList>
      <explain/>
      <paraID>27E73111</paraID>
      <start>113</start>
      <end>115</end>
      <status>modified</status>
      <modifiedWord>制有</modifiedWord>
      <trackRevisions>false</trackRevisions>
    </reviewItem>
    <reviewItem>
      <errorID>66e8bc12-0b3c-45f1-8f82-c8cc18e54863</errorID>
      <errorWord>效</errorWord>
      <group>L1_Word</group>
      <groupName>字词问题</groupName>
      <ability>L2_Typo</ability>
      <abilityName>字词错误</abilityName>
      <candidateList>
        <item>效有</item>
      </candidateList>
      <explain/>
      <paraID>27E73111</paraID>
      <start>124</start>
      <end>125</end>
      <status>unmodified</status>
      <modifiedWord/>
      <trackRevisions>false</trackRevisions>
    </reviewItem>
    <reviewItem>
      <errorID>dd55905c-917b-4d32-9944-46bffdcbe8a7</errorID>
      <errorWord>制</errorWord>
      <group>L1_Word</group>
      <groupName>字词问题</groupName>
      <ability>L2_Typo</ability>
      <abilityName>字词错误</abilityName>
      <candidateList>
        <item>制有</item>
      </candidateList>
      <explain/>
      <paraID>27E73111</paraID>
      <start>223</start>
      <end>225</end>
      <status>modified</status>
      <modifiedWord>制有</modifiedWord>
      <trackRevisions>false</trackRevisions>
    </reviewItem>
    <reviewItem>
      <errorID>1f72b980-060a-48d1-a626-61ac1182df9c</errorID>
      <errorWord>用</errorWord>
      <group>L1_Word</group>
      <groupName>字词问题</groupName>
      <ability>L2_Typo</ability>
      <abilityName>字词错误</abilityName>
      <candidateList>
        <item>用有</item>
      </candidateList>
      <explain/>
      <paraID>27E73111</paraID>
      <start>290</start>
      <end>292</end>
      <status>modified</status>
      <modifiedWord>用有</modifiedWord>
      <trackRevisions>false</trackRevisions>
    </reviewItem>
    <reviewItem>
      <errorID>2458e3c4-f0ef-482b-9058-ece444245617</errorID>
      <errorWord>法治教育</errorWord>
      <group>L1_Word</group>
      <groupName>字词问题</groupName>
      <ability>L2_Typo</ability>
      <abilityName>字词错误</abilityName>
      <candidateList>
        <item>法制教育</item>
      </candidateList>
      <explain/>
      <paraID>6BA3D647</paraID>
      <start>107</start>
      <end>111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b152e-e63c-4f1c-98b0-9e0cdc1cd34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5804</Words>
  <Characters>5922</Characters>
  <Lines>0</Lines>
  <Paragraphs>0</Paragraphs>
  <TotalTime>92</TotalTime>
  <ScaleCrop>false</ScaleCrop>
  <LinksUpToDate>false</LinksUpToDate>
  <CharactersWithSpaces>5941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2025-12-08T01:40:00Z</dcterms:created>
  <dc:creator>微信用户</dc:creator>
  <cp:lastModifiedBy>路娇娇</cp:lastModifiedBy>
  <cp:lastPrinted>2025-12-12T01:13:00Z</cp:lastPrinted>
  <dcterms:modified xsi:type="dcterms:W3CDTF">2026-02-12T01:46:27Z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EA644EB3666B4A1E90DA17EDC7F0979D_13</vt:lpwstr>
  </property>
  <property fmtid="{D5CDD505-2E9C-101B-9397-08002B2CF9AE}" pid="4" name="KSOTemplateDocerSaveRecord">
    <vt:lpwstr>eyJoZGlkIjoiYzViZWFmODM1ZGVkNjBmYjQyNTNhNDg3NGE5OTRmNTYiLCJ1c2VySWQiOiIyNzE1Njg1MTcifQ==</vt:lpwstr>
  </property>
</Properties>
</file>