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FE149">
      <w:pPr>
        <w:spacing w:line="560" w:lineRule="exact"/>
        <w:jc w:val="both"/>
        <w:rPr>
          <w:rFonts w:hint="default" w:ascii="Times New Roman" w:hAnsi="Times New Roman" w:eastAsia="仿宋" w:cs="Times New Roman"/>
          <w:sz w:val="32"/>
        </w:rPr>
      </w:pPr>
    </w:p>
    <w:p w14:paraId="20E7B9B5">
      <w:pPr>
        <w:spacing w:line="560" w:lineRule="exact"/>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潢川县人力资源和社会保障局</w:t>
      </w:r>
    </w:p>
    <w:p w14:paraId="506607C1">
      <w:pPr>
        <w:spacing w:line="560" w:lineRule="exact"/>
        <w:jc w:val="center"/>
        <w:rPr>
          <w:rFonts w:hint="eastAsia" w:ascii="黑体" w:hAnsi="黑体" w:eastAsia="黑体" w:cs="黑体"/>
          <w:sz w:val="44"/>
          <w:szCs w:val="44"/>
        </w:rPr>
      </w:pPr>
      <w:r>
        <w:rPr>
          <w:rFonts w:hint="eastAsia" w:ascii="黑体" w:hAnsi="黑体" w:eastAsia="黑体" w:cs="黑体"/>
          <w:sz w:val="44"/>
          <w:szCs w:val="44"/>
          <w:lang w:val="en-US"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年法治</w:t>
      </w:r>
      <w:r>
        <w:rPr>
          <w:rFonts w:hint="eastAsia" w:ascii="黑体" w:hAnsi="黑体" w:eastAsia="黑体" w:cs="黑体"/>
          <w:sz w:val="44"/>
          <w:szCs w:val="44"/>
          <w:lang w:val="en-US" w:eastAsia="zh-CN"/>
        </w:rPr>
        <w:t>政府</w:t>
      </w:r>
      <w:r>
        <w:rPr>
          <w:rFonts w:hint="eastAsia" w:ascii="黑体" w:hAnsi="黑体" w:eastAsia="黑体" w:cs="黑体"/>
          <w:sz w:val="44"/>
          <w:szCs w:val="44"/>
        </w:rPr>
        <w:t>建设</w:t>
      </w:r>
      <w:r>
        <w:rPr>
          <w:rFonts w:hint="eastAsia" w:ascii="黑体" w:hAnsi="黑体" w:eastAsia="黑体" w:cs="黑体"/>
          <w:sz w:val="44"/>
          <w:szCs w:val="44"/>
          <w:lang w:val="en-US" w:eastAsia="zh-CN"/>
        </w:rPr>
        <w:t>情况的</w:t>
      </w:r>
      <w:r>
        <w:rPr>
          <w:rFonts w:hint="eastAsia" w:ascii="黑体" w:hAnsi="黑体" w:eastAsia="黑体" w:cs="黑体"/>
          <w:sz w:val="44"/>
          <w:szCs w:val="44"/>
        </w:rPr>
        <w:t>报告</w:t>
      </w:r>
    </w:p>
    <w:p w14:paraId="0214C693">
      <w:pPr>
        <w:spacing w:line="560" w:lineRule="exact"/>
        <w:ind w:firstLine="640" w:firstLineChars="200"/>
        <w:rPr>
          <w:rFonts w:hint="eastAsia" w:ascii="方正小标宋简体" w:hAnsi="方正小标宋简体" w:eastAsia="方正小标宋简体" w:cs="方正小标宋简体"/>
          <w:sz w:val="32"/>
          <w:szCs w:val="32"/>
        </w:rPr>
      </w:pPr>
    </w:p>
    <w:p w14:paraId="54128A0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2025年，潢川县人社局坚持以习近平新时代中国特色社会主义思想为指引，</w:t>
      </w:r>
      <w:r>
        <w:rPr>
          <w:rFonts w:hint="eastAsia" w:ascii="仿宋_GB2312" w:hAnsi="仿宋_GB2312" w:eastAsia="仿宋_GB2312" w:cs="仿宋_GB2312"/>
          <w:b w:val="0"/>
          <w:bCs w:val="0"/>
          <w:color w:val="000000"/>
          <w:kern w:val="0"/>
          <w:sz w:val="32"/>
          <w:szCs w:val="24"/>
          <w:u w:val="none"/>
          <w:shd w:val="clear" w:color="auto" w:fill="auto"/>
          <w:lang w:val="en-US" w:eastAsia="zh-CN" w:bidi="ar-SA"/>
        </w:rPr>
        <w:t>深入贯彻党的二十大和二十届历次全会精神，</w:t>
      </w:r>
      <w:r>
        <w:rPr>
          <w:rFonts w:hint="eastAsia" w:ascii="仿宋_GB2312" w:hAnsi="仿宋_GB2312" w:eastAsia="仿宋_GB2312" w:cs="仿宋_GB2312"/>
          <w:sz w:val="32"/>
          <w:szCs w:val="32"/>
          <w:lang w:val="en-US" w:eastAsia="zh-CN"/>
        </w:rPr>
        <w:t>认真落实中央、省、市、县关于法治人社建设的各项决策部署，法治人社建设取得了新进展新成效。现将我局2025年法治人社建设情况汇报如下：</w:t>
      </w:r>
    </w:p>
    <w:p w14:paraId="610E62AA">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一、2025</w:t>
      </w:r>
      <w:r>
        <w:rPr>
          <w:rFonts w:hint="default" w:ascii="Times New Roman" w:hAnsi="Times New Roman" w:eastAsia="黑体" w:cs="Times New Roman"/>
          <w:sz w:val="32"/>
          <w:szCs w:val="32"/>
          <w:lang w:val="en-US" w:eastAsia="zh-CN"/>
        </w:rPr>
        <w:t>年</w:t>
      </w:r>
      <w:r>
        <w:rPr>
          <w:rFonts w:hint="default" w:ascii="Times New Roman" w:hAnsi="Times New Roman" w:eastAsia="黑体" w:cs="Times New Roman"/>
          <w:sz w:val="32"/>
          <w:szCs w:val="32"/>
        </w:rPr>
        <w:t>党政主要负责人履行推进法治建设第一责任人职责，加强法治</w:t>
      </w:r>
      <w:r>
        <w:rPr>
          <w:rFonts w:hint="eastAsia" w:eastAsia="黑体" w:cs="Times New Roman"/>
          <w:sz w:val="32"/>
          <w:szCs w:val="32"/>
          <w:lang w:eastAsia="zh-CN"/>
        </w:rPr>
        <w:t>人社</w:t>
      </w:r>
      <w:r>
        <w:rPr>
          <w:rFonts w:hint="default" w:ascii="Times New Roman" w:hAnsi="Times New Roman" w:eastAsia="黑体" w:cs="Times New Roman"/>
          <w:sz w:val="32"/>
          <w:szCs w:val="32"/>
        </w:rPr>
        <w:t>建设的有关情况</w:t>
      </w:r>
    </w:p>
    <w:p w14:paraId="0C9315A0">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（一）高度重视法治建设学习。</w:t>
      </w:r>
      <w:r>
        <w:rPr>
          <w:rFonts w:hint="eastAsia" w:ascii="Times New Roman" w:hAnsi="Times New Roman" w:eastAsia="仿宋_GB2312" w:cs="Times New Roman"/>
          <w:sz w:val="32"/>
          <w:szCs w:val="32"/>
          <w:lang w:val="en-US" w:eastAsia="zh-CN"/>
        </w:rPr>
        <w:t>县人社局主要负责人高度重视法治建设学习，将《习近平法治思想学习纲要》《习近平新时代中国特色社会主义思想学习问答》等内容，纳入局党组理论学习中心组学习计划，印发</w:t>
      </w:r>
      <w:r>
        <w:rPr>
          <w:rFonts w:hint="default" w:ascii="Times New Roman" w:hAnsi="Times New Roman" w:eastAsia="仿宋_GB2312" w:cs="Times New Roman"/>
          <w:sz w:val="32"/>
          <w:szCs w:val="32"/>
        </w:rPr>
        <w:t>《潢川县</w:t>
      </w:r>
      <w:r>
        <w:rPr>
          <w:rFonts w:hint="default" w:ascii="Times New Roman" w:hAnsi="Times New Roman" w:eastAsia="仿宋_GB2312" w:cs="Times New Roman"/>
          <w:sz w:val="32"/>
          <w:szCs w:val="32"/>
          <w:lang w:eastAsia="zh-CN"/>
        </w:rPr>
        <w:t>人力资源和社会保障局</w:t>
      </w:r>
      <w:r>
        <w:rPr>
          <w:rFonts w:hint="default" w:ascii="Times New Roman" w:hAnsi="Times New Roman" w:eastAsia="仿宋_GB2312" w:cs="Times New Roman"/>
          <w:sz w:val="32"/>
          <w:szCs w:val="32"/>
        </w:rPr>
        <w:t>2025年度领导干部学法计划》</w:t>
      </w:r>
      <w:r>
        <w:rPr>
          <w:rFonts w:hint="eastAsia" w:ascii="Times New Roman" w:hAnsi="Times New Roman" w:eastAsia="仿宋_GB2312" w:cs="Times New Roman"/>
          <w:sz w:val="32"/>
          <w:szCs w:val="32"/>
          <w:lang w:val="en-US" w:eastAsia="zh-CN"/>
        </w:rPr>
        <w:t>，认真学习领会习近平法治思想，坚持党对法治建设工作的领导，坚持正确政治方向，引领人社党员干部听党话、跟党走，坚定不移走中国特色社会主义法治道路。</w:t>
      </w:r>
    </w:p>
    <w:p w14:paraId="3F7260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lang w:val="en-US" w:eastAsia="zh-CN" w:bidi="ar-SA"/>
        </w:rPr>
        <w:t>（二）强化</w:t>
      </w:r>
      <w:r>
        <w:rPr>
          <w:rFonts w:hint="eastAsia" w:ascii="楷体" w:hAnsi="楷体" w:eastAsia="楷体" w:cs="楷体"/>
          <w:b/>
          <w:bCs/>
          <w:sz w:val="32"/>
          <w:szCs w:val="32"/>
          <w:lang w:val="en-US" w:eastAsia="zh-CN"/>
        </w:rPr>
        <w:t>法治建设</w:t>
      </w:r>
      <w:r>
        <w:rPr>
          <w:rFonts w:hint="eastAsia" w:ascii="楷体" w:hAnsi="楷体" w:eastAsia="楷体" w:cs="楷体"/>
          <w:b/>
          <w:bCs/>
          <w:kern w:val="2"/>
          <w:sz w:val="32"/>
          <w:szCs w:val="32"/>
          <w:lang w:val="en-US" w:eastAsia="zh-CN" w:bidi="ar-SA"/>
        </w:rPr>
        <w:t>组织领导。</w:t>
      </w:r>
      <w:r>
        <w:rPr>
          <w:rFonts w:hint="eastAsia" w:ascii="Times New Roman" w:hAnsi="Times New Roman" w:eastAsia="仿宋_GB2312" w:cs="Times New Roman"/>
          <w:kern w:val="2"/>
          <w:sz w:val="32"/>
          <w:szCs w:val="32"/>
          <w:lang w:val="en-US" w:eastAsia="zh-CN" w:bidi="ar-SA"/>
        </w:rPr>
        <w:t>县人社局坚决贯彻党政主要负责人履行法治建设第一责任人职责，在以党组书记、局长任组长的领导小组带领下，统筹谋划法治人社建设重大事项，明确党组书记负总责、班子成员分工落实的责任体系，将法治要求贯穿政策制定、行政执法、公共服务全流程，为人社事业高质量发展提供坚实组织保障。</w:t>
      </w:r>
    </w:p>
    <w:p w14:paraId="7865FA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楷体" w:hAnsi="楷体" w:eastAsia="楷体" w:cs="楷体"/>
          <w:b/>
          <w:bCs/>
          <w:kern w:val="2"/>
          <w:sz w:val="32"/>
          <w:szCs w:val="32"/>
          <w:lang w:val="en-US" w:eastAsia="zh-CN" w:bidi="ar-SA"/>
        </w:rPr>
        <w:t>（</w:t>
      </w:r>
      <w:r>
        <w:rPr>
          <w:rFonts w:hint="eastAsia" w:ascii="楷体" w:hAnsi="楷体" w:eastAsia="楷体" w:cs="楷体"/>
          <w:b/>
          <w:bCs/>
          <w:kern w:val="2"/>
          <w:sz w:val="32"/>
          <w:szCs w:val="32"/>
          <w:lang w:val="en-US" w:eastAsia="zh-CN" w:bidi="ar-SA"/>
        </w:rPr>
        <w:t>三</w:t>
      </w:r>
      <w:r>
        <w:rPr>
          <w:rFonts w:hint="default" w:ascii="楷体" w:hAnsi="楷体" w:eastAsia="楷体" w:cs="楷体"/>
          <w:b/>
          <w:bCs/>
          <w:kern w:val="2"/>
          <w:sz w:val="32"/>
          <w:szCs w:val="32"/>
          <w:lang w:val="en-US" w:eastAsia="zh-CN" w:bidi="ar-SA"/>
        </w:rPr>
        <w:t>）健全</w:t>
      </w:r>
      <w:r>
        <w:rPr>
          <w:rFonts w:hint="eastAsia" w:ascii="楷体" w:hAnsi="楷体" w:eastAsia="楷体" w:cs="楷体"/>
          <w:b/>
          <w:bCs/>
          <w:kern w:val="2"/>
          <w:sz w:val="32"/>
          <w:szCs w:val="32"/>
          <w:lang w:val="en-US" w:eastAsia="zh-CN" w:bidi="ar-SA"/>
        </w:rPr>
        <w:t>法治建设</w:t>
      </w:r>
      <w:r>
        <w:rPr>
          <w:rFonts w:hint="default" w:ascii="楷体" w:hAnsi="楷体" w:eastAsia="楷体" w:cs="楷体"/>
          <w:b/>
          <w:bCs/>
          <w:kern w:val="2"/>
          <w:sz w:val="32"/>
          <w:szCs w:val="32"/>
          <w:lang w:val="en-US" w:eastAsia="zh-CN" w:bidi="ar-SA"/>
        </w:rPr>
        <w:t>推进机制</w:t>
      </w:r>
      <w:r>
        <w:rPr>
          <w:rFonts w:hint="eastAsia" w:ascii="楷体" w:hAnsi="楷体" w:eastAsia="楷体" w:cs="楷体"/>
          <w:b/>
          <w:bCs/>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2025年，局</w:t>
      </w:r>
      <w:r>
        <w:rPr>
          <w:rFonts w:hint="eastAsia" w:ascii="Times New Roman" w:hAnsi="Times New Roman" w:eastAsia="仿宋_GB2312" w:cs="Times New Roman"/>
          <w:kern w:val="2"/>
          <w:sz w:val="32"/>
          <w:szCs w:val="32"/>
          <w:lang w:val="en-US" w:eastAsia="zh-CN" w:bidi="ar-SA"/>
        </w:rPr>
        <w:t>党组</w:t>
      </w:r>
      <w:r>
        <w:rPr>
          <w:rFonts w:hint="default" w:ascii="Times New Roman" w:hAnsi="Times New Roman" w:eastAsia="仿宋_GB2312" w:cs="Times New Roman"/>
          <w:kern w:val="2"/>
          <w:sz w:val="32"/>
          <w:szCs w:val="32"/>
          <w:lang w:val="en-US" w:eastAsia="zh-CN" w:bidi="ar-SA"/>
        </w:rPr>
        <w:t>召开法治建设专题会议</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次、专题听取工作汇报</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次，</w:t>
      </w:r>
      <w:r>
        <w:rPr>
          <w:rFonts w:hint="default" w:ascii="Times New Roman" w:hAnsi="Times New Roman" w:eastAsia="仿宋_GB2312" w:cs="Times New Roman"/>
          <w:sz w:val="32"/>
          <w:szCs w:val="32"/>
        </w:rPr>
        <w:t>自学专题类法律法规</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个，法治专题讲座2期，领导干部集中学习和个人自学不少于40学时</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同时</w:t>
      </w:r>
      <w:r>
        <w:rPr>
          <w:rFonts w:hint="default" w:ascii="Times New Roman" w:hAnsi="Times New Roman" w:eastAsia="仿宋_GB2312" w:cs="Times New Roman"/>
          <w:kern w:val="2"/>
          <w:sz w:val="32"/>
          <w:szCs w:val="32"/>
          <w:lang w:val="en-US" w:eastAsia="zh-CN" w:bidi="ar-SA"/>
        </w:rPr>
        <w:t>严格执行“四亲自”要求——党组书记、局长对法治建设重要工作亲自部署、重大问题亲自过问、重点环节亲自协调、重要任务亲自督办，推动法治建设与就业创业、社会保障、</w:t>
      </w:r>
      <w:r>
        <w:rPr>
          <w:rFonts w:hint="eastAsia" w:ascii="Times New Roman" w:hAnsi="Times New Roman" w:eastAsia="仿宋_GB2312" w:cs="Times New Roman"/>
          <w:kern w:val="2"/>
          <w:sz w:val="32"/>
          <w:szCs w:val="32"/>
          <w:lang w:val="en-US" w:eastAsia="zh-CN" w:bidi="ar-SA"/>
        </w:rPr>
        <w:t>人才人事、</w:t>
      </w:r>
      <w:r>
        <w:rPr>
          <w:rFonts w:hint="default" w:ascii="Times New Roman" w:hAnsi="Times New Roman" w:eastAsia="仿宋_GB2312" w:cs="Times New Roman"/>
          <w:kern w:val="2"/>
          <w:sz w:val="32"/>
          <w:szCs w:val="32"/>
          <w:lang w:val="en-US" w:eastAsia="zh-CN" w:bidi="ar-SA"/>
        </w:rPr>
        <w:t>劳动关系等业务同部署、同推进、同考核。通过制度化、常态化的高位推动，确保党中央依法治国决策部署在人社领域一贯到底、落地生根。</w:t>
      </w:r>
    </w:p>
    <w:p w14:paraId="6172D9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eastAsia" w:eastAsia="黑体" w:cs="Times New Roman"/>
          <w:sz w:val="32"/>
          <w:szCs w:val="32"/>
          <w:lang w:val="en-US" w:eastAsia="zh-CN"/>
        </w:rPr>
        <w:t>2025</w:t>
      </w:r>
      <w:r>
        <w:rPr>
          <w:rFonts w:hint="default" w:ascii="Times New Roman" w:hAnsi="Times New Roman" w:eastAsia="黑体" w:cs="Times New Roman"/>
          <w:sz w:val="32"/>
          <w:szCs w:val="32"/>
          <w:lang w:val="en-US" w:eastAsia="zh-CN"/>
        </w:rPr>
        <w:t>年</w:t>
      </w:r>
      <w:r>
        <w:rPr>
          <w:rFonts w:hint="default" w:ascii="Times New Roman" w:hAnsi="Times New Roman" w:eastAsia="黑体" w:cs="Times New Roman"/>
          <w:sz w:val="32"/>
          <w:szCs w:val="32"/>
        </w:rPr>
        <w:t>推进法治</w:t>
      </w:r>
      <w:r>
        <w:rPr>
          <w:rFonts w:hint="eastAsia" w:eastAsia="黑体" w:cs="Times New Roman"/>
          <w:sz w:val="32"/>
          <w:szCs w:val="32"/>
          <w:lang w:eastAsia="zh-CN"/>
        </w:rPr>
        <w:t>人社</w:t>
      </w:r>
      <w:r>
        <w:rPr>
          <w:rFonts w:hint="default" w:ascii="Times New Roman" w:hAnsi="Times New Roman" w:eastAsia="黑体" w:cs="Times New Roman"/>
          <w:sz w:val="32"/>
          <w:szCs w:val="32"/>
        </w:rPr>
        <w:t>建设的主要举措和成效</w:t>
      </w:r>
    </w:p>
    <w:p w14:paraId="4B1D99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县人社局以“法定职责必须为、法无授权不可为”为原则，推动法治思维贯穿人社职能全链条，实现履职规范化、服务高效化。</w:t>
      </w:r>
      <w:r>
        <w:rPr>
          <w:rFonts w:hint="eastAsia" w:eastAsia="仿宋_GB2312" w:cs="Times New Roman"/>
          <w:kern w:val="2"/>
          <w:sz w:val="32"/>
          <w:szCs w:val="32"/>
          <w:lang w:val="en-US" w:eastAsia="zh-CN" w:bidi="ar-SA"/>
        </w:rPr>
        <w:t xml:space="preserve">   </w:t>
      </w:r>
    </w:p>
    <w:p w14:paraId="2D387737">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kern w:val="2"/>
          <w:sz w:val="32"/>
          <w:szCs w:val="32"/>
          <w:lang w:val="en-US" w:eastAsia="zh-CN" w:bidi="ar-SA"/>
        </w:rPr>
        <w:t>（一）开展行政执法人员专题培训。</w:t>
      </w:r>
      <w:r>
        <w:rPr>
          <w:rFonts w:hint="default" w:ascii="Times New Roman" w:hAnsi="Times New Roman" w:eastAsia="仿宋_GB2312" w:cs="Times New Roman"/>
          <w:sz w:val="32"/>
          <w:szCs w:val="32"/>
          <w:lang w:val="en-US" w:eastAsia="zh-CN"/>
        </w:rPr>
        <w:t>以“行政处罚法和执法实务、入企扫码工作”为主题，围绕行政执法概念、受理与立案、调查取证、案件处理及文书送达、案件执行及撤案结案归档、三项制度及纪律规定六个方面深入解读了行政执法的法律法规、行政执法程序和执法文书制作、执法风险防范、职业道德和廉政建设等知识，让参会会人员对行政执法应知应会的法律法规和规范有了更深刻的理解和把握，为提高全局行政执法人员依法行政、规范执法的自觉性和主动性起到了积极作用。</w:t>
      </w:r>
    </w:p>
    <w:p w14:paraId="351A3F2D">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kern w:val="2"/>
          <w:sz w:val="32"/>
          <w:szCs w:val="32"/>
          <w:lang w:val="en-US" w:eastAsia="zh-CN" w:bidi="ar-SA"/>
        </w:rPr>
        <w:t>（二）</w:t>
      </w:r>
      <w:r>
        <w:rPr>
          <w:rFonts w:hint="default" w:ascii="楷体" w:hAnsi="楷体" w:eastAsia="楷体" w:cs="楷体"/>
          <w:b/>
          <w:bCs/>
          <w:kern w:val="2"/>
          <w:sz w:val="32"/>
          <w:szCs w:val="32"/>
          <w:lang w:val="en-US" w:eastAsia="zh-CN" w:bidi="ar-SA"/>
        </w:rPr>
        <w:t>严格规范行政执法行为</w:t>
      </w:r>
      <w:r>
        <w:rPr>
          <w:rFonts w:hint="eastAsia" w:ascii="楷体" w:hAnsi="楷体" w:eastAsia="楷体" w:cs="楷体"/>
          <w:b/>
          <w:bCs/>
          <w:kern w:val="2"/>
          <w:sz w:val="32"/>
          <w:szCs w:val="32"/>
          <w:lang w:val="en-US" w:eastAsia="zh-CN" w:bidi="ar-SA"/>
        </w:rPr>
        <w:t>。</w:t>
      </w:r>
      <w:r>
        <w:rPr>
          <w:rFonts w:hint="default" w:ascii="Times New Roman" w:hAnsi="Times New Roman" w:eastAsia="仿宋_GB2312" w:cs="Times New Roman"/>
          <w:b/>
          <w:bCs/>
          <w:sz w:val="32"/>
          <w:szCs w:val="32"/>
          <w:lang w:val="en-US" w:eastAsia="zh-CN"/>
        </w:rPr>
        <w:t>一是执行民主集中制。</w:t>
      </w:r>
      <w:r>
        <w:rPr>
          <w:rFonts w:hint="default" w:ascii="Times New Roman" w:hAnsi="Times New Roman" w:eastAsia="仿宋_GB2312" w:cs="Times New Roman"/>
          <w:sz w:val="32"/>
          <w:szCs w:val="32"/>
          <w:lang w:val="en-US" w:eastAsia="zh-CN"/>
        </w:rPr>
        <w:t>严格贯彻落实“三重一大”议事决策制度、领导班子议事规则、集体决策等相关规章制度，凡涉及“三重一大”事项都召开班子会议研究决定。</w:t>
      </w:r>
      <w:r>
        <w:rPr>
          <w:rFonts w:hint="default" w:ascii="Times New Roman" w:hAnsi="Times New Roman" w:eastAsia="仿宋_GB2312" w:cs="Times New Roman"/>
          <w:b/>
          <w:bCs/>
          <w:sz w:val="32"/>
          <w:szCs w:val="32"/>
          <w:lang w:val="en-US" w:eastAsia="zh-CN"/>
        </w:rPr>
        <w:t>二是落实权责清单制度。</w:t>
      </w:r>
      <w:r>
        <w:rPr>
          <w:rFonts w:hint="default" w:ascii="Times New Roman" w:hAnsi="Times New Roman" w:eastAsia="仿宋_GB2312" w:cs="Times New Roman"/>
          <w:sz w:val="32"/>
          <w:szCs w:val="32"/>
          <w:lang w:val="en-US" w:eastAsia="zh-CN"/>
        </w:rPr>
        <w:t>认真梳理我局的权责清单，落实《行政执法公示制度》、《行政执法全过程记录制度》、《重大决定法制审核制度》“三项”制度，严格执行市场准入负面清单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积极推行执法人员持证上岗、持证执法。</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年我局</w:t>
      </w:r>
      <w:r>
        <w:rPr>
          <w:rFonts w:hint="eastAsia" w:eastAsia="仿宋_GB2312" w:cs="Times New Roman"/>
          <w:sz w:val="32"/>
          <w:szCs w:val="32"/>
          <w:lang w:val="en-US" w:eastAsia="zh-CN"/>
        </w:rPr>
        <w:t>组织13名同志参加行政</w:t>
      </w:r>
      <w:r>
        <w:rPr>
          <w:rFonts w:hint="default" w:ascii="Times New Roman" w:hAnsi="Times New Roman" w:eastAsia="仿宋_GB2312" w:cs="Times New Roman"/>
          <w:sz w:val="32"/>
          <w:szCs w:val="32"/>
          <w:lang w:val="en-US" w:eastAsia="zh-CN"/>
        </w:rPr>
        <w:t>执法</w:t>
      </w:r>
      <w:r>
        <w:rPr>
          <w:rFonts w:hint="eastAsia" w:eastAsia="仿宋_GB2312" w:cs="Times New Roman"/>
          <w:sz w:val="32"/>
          <w:szCs w:val="32"/>
          <w:lang w:val="en-US" w:eastAsia="zh-CN"/>
        </w:rPr>
        <w:t>证件考试</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进一步壮大执法人员队伍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三是重视行政应诉工作。</w:t>
      </w:r>
      <w:r>
        <w:rPr>
          <w:rFonts w:hint="default" w:ascii="Times New Roman" w:hAnsi="Times New Roman" w:eastAsia="仿宋_GB2312" w:cs="Times New Roman"/>
          <w:sz w:val="32"/>
          <w:szCs w:val="32"/>
          <w:lang w:val="en-US" w:eastAsia="zh-CN"/>
        </w:rPr>
        <w:t>积极配合有关审判活动，努力提高行政机关负责人出庭应诉率，维护法律的权威性和政策的严肃性。</w:t>
      </w:r>
    </w:p>
    <w:p w14:paraId="5A208DAD">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（三）</w:t>
      </w:r>
      <w:r>
        <w:rPr>
          <w:rFonts w:hint="default" w:ascii="楷体" w:hAnsi="楷体" w:eastAsia="楷体" w:cs="楷体"/>
          <w:b/>
          <w:bCs/>
          <w:kern w:val="2"/>
          <w:sz w:val="32"/>
          <w:szCs w:val="32"/>
          <w:lang w:val="en-US" w:eastAsia="zh-CN" w:bidi="ar-SA"/>
        </w:rPr>
        <w:t>推进</w:t>
      </w:r>
      <w:r>
        <w:rPr>
          <w:rFonts w:hint="eastAsia" w:ascii="楷体" w:hAnsi="楷体" w:eastAsia="楷体" w:cs="楷体"/>
          <w:b/>
          <w:bCs/>
          <w:kern w:val="2"/>
          <w:sz w:val="32"/>
          <w:szCs w:val="32"/>
          <w:lang w:val="en-US" w:eastAsia="zh-CN" w:bidi="ar-SA"/>
        </w:rPr>
        <w:t>人社</w:t>
      </w:r>
      <w:r>
        <w:rPr>
          <w:rFonts w:hint="default" w:ascii="楷体" w:hAnsi="楷体" w:eastAsia="楷体" w:cs="楷体"/>
          <w:b/>
          <w:bCs/>
          <w:kern w:val="2"/>
          <w:sz w:val="32"/>
          <w:szCs w:val="32"/>
          <w:lang w:val="en-US" w:eastAsia="zh-CN" w:bidi="ar-SA"/>
        </w:rPr>
        <w:t>法治营商环境优化。</w:t>
      </w:r>
      <w:r>
        <w:rPr>
          <w:rFonts w:hint="eastAsia" w:eastAsia="仿宋_GB2312" w:cs="Times New Roman"/>
          <w:b w:val="0"/>
          <w:bCs w:val="0"/>
          <w:sz w:val="32"/>
          <w:szCs w:val="32"/>
          <w:lang w:val="en-US" w:eastAsia="zh-CN"/>
        </w:rPr>
        <w:t>持续</w:t>
      </w:r>
      <w:r>
        <w:rPr>
          <w:rFonts w:hint="default" w:ascii="Times New Roman" w:hAnsi="Times New Roman" w:eastAsia="仿宋_GB2312" w:cs="Times New Roman"/>
          <w:b w:val="0"/>
          <w:bCs w:val="0"/>
          <w:sz w:val="32"/>
          <w:szCs w:val="32"/>
          <w:lang w:val="en-US" w:eastAsia="zh-CN"/>
        </w:rPr>
        <w:t>开</w:t>
      </w:r>
      <w:r>
        <w:rPr>
          <w:rFonts w:hint="default" w:ascii="Times New Roman" w:hAnsi="Times New Roman" w:eastAsia="仿宋_GB2312" w:cs="Times New Roman"/>
          <w:sz w:val="32"/>
          <w:szCs w:val="32"/>
          <w:lang w:val="en-US" w:eastAsia="zh-CN"/>
        </w:rPr>
        <w:t>展局长“走流程”活动，深入体验人社业务事项办理流程，了解便民服务政策落实等情况；强化包联企业走访工作，积极向企业宣传惠企政策，帮助企业解决困难；落实社保经办服务乡村全覆盖，</w:t>
      </w:r>
      <w:r>
        <w:rPr>
          <w:rFonts w:hint="eastAsia" w:ascii="仿宋_GB2312" w:hAnsi="仿宋_GB2312" w:eastAsia="仿宋_GB2312" w:cs="仿宋_GB2312"/>
          <w:sz w:val="32"/>
          <w:szCs w:val="32"/>
          <w:lang w:val="en-US" w:eastAsia="zh-CN"/>
        </w:rPr>
        <w:t>打造社保“步行15分钟服务圈”。目前，全县9个社银一体化服务网点已正式开放，可受理包括参保登记、查询打印、转移接续、待遇发放、待遇认证等社保经办业务，受理服务事项基本涵盖了单位和个人社保经办业务。“社保+银行”合作，把社保经办窗口前移并延伸到群众身边，能有效解决群众的‘急难愁盼’，打通服务群众的‘最后一公里’。城区群众到最近的社银一体化服务网点只需要10分钟，不出银行大厅就能把银行业务和社保业务一起办理，实现“数据多跑路，群众少跑腿”。</w:t>
      </w:r>
    </w:p>
    <w:p w14:paraId="0210BEDC">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（四）强化信用监管机制。</w:t>
      </w:r>
      <w:r>
        <w:rPr>
          <w:rFonts w:hint="eastAsia" w:ascii="仿宋_GB2312" w:hAnsi="仿宋_GB2312" w:eastAsia="仿宋_GB2312" w:cs="仿宋_GB2312"/>
          <w:sz w:val="32"/>
          <w:szCs w:val="32"/>
          <w:lang w:val="en-US" w:eastAsia="zh-CN"/>
        </w:rPr>
        <w:t>建立企业劳动保障信用等级评价体系，选取全县30家企业劳动保障守法诚信情况进行分类评价，评出A级企业6家、B级企业24家。通过劳动保障守法诚信等级评价工作，进一步促进企业遵守劳动保障法律法规，有利于提高劳动保障监察的针对性和执法效率，督促各类企业自觉遵守劳动保障法律规定，树立守法诚信形象，促进劳动关系和谐发展。</w:t>
      </w:r>
    </w:p>
    <w:p w14:paraId="2202E389">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kern w:val="2"/>
          <w:sz w:val="32"/>
          <w:szCs w:val="32"/>
          <w:lang w:val="en-US" w:eastAsia="zh-CN" w:bidi="ar-SA"/>
        </w:rPr>
        <w:t>（五）深入</w:t>
      </w:r>
      <w:r>
        <w:rPr>
          <w:rFonts w:hint="default" w:ascii="楷体" w:hAnsi="楷体" w:eastAsia="楷体" w:cs="楷体"/>
          <w:b/>
          <w:bCs/>
          <w:kern w:val="2"/>
          <w:sz w:val="32"/>
          <w:szCs w:val="32"/>
          <w:lang w:val="en-US" w:eastAsia="zh-CN" w:bidi="ar-SA"/>
        </w:rPr>
        <w:t>开展行政执法检查工作。</w:t>
      </w:r>
      <w:bookmarkStart w:id="0" w:name="_GoBack"/>
      <w:bookmarkEnd w:id="0"/>
      <w:r>
        <w:rPr>
          <w:rFonts w:hint="eastAsia" w:ascii="Times New Roman" w:hAnsi="Times New Roman" w:eastAsia="仿宋_GB2312" w:cs="Times New Roman"/>
          <w:sz w:val="32"/>
          <w:szCs w:val="32"/>
          <w:lang w:val="en-US" w:eastAsia="zh-CN"/>
        </w:rPr>
        <w:t>对欠薪投诉多的用人单位进行重点检查，对存在违法违规用工问题的，责令在规定时限内进行整改，并对整改情况进行跟踪，逾期不改的，严格按照相关法律法规进行处理处罚。截至目前，共受理各类渠道问题投诉2679件，其中：国家投诉欠薪平台551件，省欠薪平台67件，市长热线1482件，信访件32件，现场投诉519件，其它渠道投诉28件，均在规定时间内办结，为1155名劳动者追回劳动报酬532.71万元，</w:t>
      </w:r>
      <w:r>
        <w:rPr>
          <w:rFonts w:hint="default" w:ascii="Times New Roman" w:hAnsi="Times New Roman" w:eastAsia="仿宋_GB2312" w:cs="Times New Roman"/>
          <w:sz w:val="32"/>
          <w:szCs w:val="32"/>
          <w:lang w:val="en-US" w:eastAsia="zh-CN"/>
        </w:rPr>
        <w:t>不断提升行政执法规范化水平。</w:t>
      </w:r>
    </w:p>
    <w:p w14:paraId="675A403F">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楷体" w:hAnsi="楷体" w:eastAsia="楷体" w:cs="楷体"/>
          <w:b/>
          <w:bCs/>
          <w:kern w:val="2"/>
          <w:sz w:val="32"/>
          <w:szCs w:val="32"/>
          <w:lang w:val="en-US" w:eastAsia="zh-CN" w:bidi="ar-SA"/>
        </w:rPr>
        <w:t>（六）</w:t>
      </w:r>
      <w:r>
        <w:rPr>
          <w:rFonts w:hint="default" w:ascii="楷体" w:hAnsi="楷体" w:eastAsia="楷体" w:cs="楷体"/>
          <w:b/>
          <w:bCs/>
          <w:kern w:val="2"/>
          <w:sz w:val="32"/>
          <w:szCs w:val="32"/>
          <w:lang w:val="en-US" w:eastAsia="zh-CN" w:bidi="ar-SA"/>
        </w:rPr>
        <w:t>扎实推进调解仲裁工作。</w:t>
      </w:r>
      <w:r>
        <w:rPr>
          <w:rFonts w:hint="eastAsia" w:ascii="仿宋_GB2312" w:hAnsi="宋体" w:eastAsia="仿宋_GB2312" w:cs="仿宋_GB2312"/>
          <w:b w:val="0"/>
          <w:bCs w:val="0"/>
          <w:i w:val="0"/>
          <w:iCs w:val="0"/>
          <w:caps w:val="0"/>
          <w:color w:val="auto"/>
          <w:spacing w:val="0"/>
          <w:kern w:val="2"/>
          <w:sz w:val="32"/>
          <w:szCs w:val="32"/>
          <w:shd w:val="clear" w:color="auto" w:fill="FFFFFF"/>
          <w:lang w:val="en-US" w:eastAsia="zh-CN" w:bidi="ar-SA"/>
        </w:rPr>
        <w:t>坚持“依法受理、依法调解、依法裁决”原则，加快案件处理，提高办案质量。调解仲裁机构和各类调解组织共受理立案劳动人事争议案件145件。其中仲裁机构受理争议案件97件，当期审结案件97件，涉案金额228.22万元。基层调解组织受理调解案件48件，涉案金额66.16万元，当期调解结案件36件。</w:t>
      </w:r>
      <w:r>
        <w:rPr>
          <w:rFonts w:hint="eastAsia" w:ascii="仿宋_GB2312" w:hAnsi="仿宋_GB2312" w:eastAsia="仿宋_GB2312" w:cs="仿宋_GB2312"/>
          <w:b w:val="0"/>
          <w:bCs/>
          <w:color w:val="auto"/>
          <w:kern w:val="2"/>
          <w:sz w:val="32"/>
          <w:szCs w:val="32"/>
          <w:highlight w:val="none"/>
          <w:lang w:val="en-US" w:eastAsia="zh-CN" w:bidi="ar-SA"/>
        </w:rPr>
        <w:t>同时</w:t>
      </w:r>
      <w:r>
        <w:rPr>
          <w:rFonts w:hint="default" w:ascii="Times New Roman" w:hAnsi="Times New Roman" w:eastAsia="仿宋_GB2312" w:cs="Times New Roman"/>
          <w:color w:val="auto"/>
          <w:sz w:val="32"/>
          <w:szCs w:val="32"/>
          <w:lang w:val="en-US" w:eastAsia="zh-CN"/>
        </w:rPr>
        <w:t>结合本县企业用工实际、经营状况及服务需求，青年仲裁员志愿者通过实地走访，与企业负责人对接联系，详细了解企业用工过程中遇到的疑惑和困难，为企业用工管理“把脉问诊”，“对症下药”为企业排忧解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截至目前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共开展入企法律宣传18次，指导企业解决用工难题30余个。</w:t>
      </w:r>
    </w:p>
    <w:p w14:paraId="0CEACA8F">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kern w:val="2"/>
          <w:sz w:val="32"/>
          <w:szCs w:val="32"/>
          <w:lang w:val="en-US" w:eastAsia="zh-CN" w:bidi="ar-SA"/>
        </w:rPr>
        <w:t>（七）</w:t>
      </w:r>
      <w:r>
        <w:rPr>
          <w:rFonts w:hint="default" w:ascii="楷体" w:hAnsi="楷体" w:eastAsia="楷体" w:cs="楷体"/>
          <w:b/>
          <w:bCs/>
          <w:kern w:val="2"/>
          <w:sz w:val="32"/>
          <w:szCs w:val="32"/>
          <w:lang w:val="en-US" w:eastAsia="zh-CN" w:bidi="ar-SA"/>
        </w:rPr>
        <w:t>创新普法宣传形式。</w:t>
      </w:r>
      <w:r>
        <w:rPr>
          <w:rFonts w:hint="default" w:ascii="Times New Roman" w:hAnsi="Times New Roman" w:eastAsia="仿宋_GB2312" w:cs="Times New Roman"/>
          <w:sz w:val="32"/>
          <w:szCs w:val="32"/>
          <w:lang w:val="en-US" w:eastAsia="zh-CN"/>
        </w:rPr>
        <w:t>落实“谁执法谁普法”责任制，年初制定普法计划，利用“国家宪法日”等重要时间节点、举办大型招聘会等时机，深入开展《社会保险法》、《中华人民共和国劳动法》、《劳动合同法》、《工伤保险条例》、《就业促进法》、《保障农民工工资支付条例》等法律法规宣传教育，</w:t>
      </w:r>
      <w:r>
        <w:rPr>
          <w:rFonts w:hint="eastAsia"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val="en-US" w:eastAsia="zh-CN"/>
        </w:rPr>
        <w:t>通过“潢川在线”网站等网络媒体，进行</w:t>
      </w:r>
      <w:r>
        <w:rPr>
          <w:rFonts w:hint="eastAsia" w:ascii="Times New Roman" w:hAnsi="Times New Roman" w:eastAsia="仿宋_GB2312" w:cs="Times New Roman"/>
          <w:color w:val="auto"/>
          <w:sz w:val="32"/>
          <w:szCs w:val="32"/>
          <w:lang w:val="en-US" w:eastAsia="zh-CN"/>
        </w:rPr>
        <w:t>线上</w:t>
      </w:r>
      <w:r>
        <w:rPr>
          <w:rFonts w:hint="default" w:ascii="Times New Roman" w:hAnsi="Times New Roman" w:eastAsia="仿宋_GB2312" w:cs="Times New Roman"/>
          <w:color w:val="auto"/>
          <w:sz w:val="32"/>
          <w:szCs w:val="32"/>
          <w:lang w:val="en-US" w:eastAsia="zh-CN"/>
        </w:rPr>
        <w:t>宣传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营造浓厚的法治建设氛围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 xml:space="preserve">积极引导广大劳动者依法理性维权。 </w:t>
      </w:r>
    </w:p>
    <w:p w14:paraId="1DB1C6C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eastAsia" w:eastAsia="黑体" w:cs="Times New Roman"/>
          <w:sz w:val="32"/>
          <w:szCs w:val="32"/>
          <w:lang w:val="en-US" w:eastAsia="zh-CN"/>
        </w:rPr>
        <w:t>2025</w:t>
      </w:r>
      <w:r>
        <w:rPr>
          <w:rFonts w:hint="default" w:ascii="Times New Roman" w:hAnsi="Times New Roman" w:eastAsia="黑体" w:cs="Times New Roman"/>
          <w:sz w:val="32"/>
          <w:szCs w:val="32"/>
          <w:lang w:val="en-US" w:eastAsia="zh-CN"/>
        </w:rPr>
        <w:t>年</w:t>
      </w:r>
      <w:r>
        <w:rPr>
          <w:rFonts w:hint="default" w:ascii="Times New Roman" w:hAnsi="Times New Roman" w:eastAsia="黑体" w:cs="Times New Roman"/>
          <w:sz w:val="32"/>
          <w:szCs w:val="32"/>
        </w:rPr>
        <w:t>推进法治</w:t>
      </w:r>
      <w:r>
        <w:rPr>
          <w:rFonts w:hint="eastAsia" w:eastAsia="黑体" w:cs="Times New Roman"/>
          <w:sz w:val="32"/>
          <w:szCs w:val="32"/>
          <w:lang w:eastAsia="zh-CN"/>
        </w:rPr>
        <w:t>人社</w:t>
      </w:r>
      <w:r>
        <w:rPr>
          <w:rFonts w:hint="default" w:ascii="Times New Roman" w:hAnsi="Times New Roman" w:eastAsia="黑体" w:cs="Times New Roman"/>
          <w:sz w:val="32"/>
          <w:szCs w:val="32"/>
        </w:rPr>
        <w:t>建设存在的不足、原因和问题整改情况</w:t>
      </w:r>
    </w:p>
    <w:p w14:paraId="50AF0C7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2025年以来，我局在推进法治人社建设工作中虽取得阶段性成效，但受日常工作业务量激增、劳资纠纷形态复杂化及群众维权诉求多元化等多重因素叠加影响，法治建设仍存在三方面突出短板，亟待靶向破解。</w:t>
      </w:r>
    </w:p>
    <w:p w14:paraId="738BF47A">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eastAsia="仿宋_GB2312" w:cs="Times New Roman"/>
          <w:sz w:val="32"/>
          <w:szCs w:val="32"/>
          <w:lang w:val="en-US" w:eastAsia="zh-CN"/>
        </w:rPr>
      </w:pPr>
      <w:r>
        <w:rPr>
          <w:rFonts w:hint="eastAsia" w:ascii="楷体" w:hAnsi="楷体" w:eastAsia="楷体" w:cs="楷体"/>
          <w:b/>
          <w:bCs/>
          <w:kern w:val="2"/>
          <w:sz w:val="32"/>
          <w:szCs w:val="32"/>
          <w:lang w:val="en-US" w:eastAsia="zh-CN" w:bidi="ar-SA"/>
        </w:rPr>
        <w:t>（一）学法氛围的系统性与深度不足。</w:t>
      </w:r>
      <w:r>
        <w:rPr>
          <w:rFonts w:hint="eastAsia" w:eastAsia="仿宋_GB2312" w:cs="Times New Roman"/>
          <w:sz w:val="32"/>
          <w:szCs w:val="32"/>
          <w:lang w:val="en-US" w:eastAsia="zh-CN"/>
        </w:rPr>
        <w:t>尽管已将习近平法治思想纳入党组理论学习中心组、“三会一课”必学内容，但实际学习中仍存在“重形式轻实效”倾向：学习方式多以“会上读文件、会后抄笔记”为主，缺乏“专题研讨+案例剖析+实践转化”的立体化设计，导致部分干部职工对法治建设的核心要义理解停留在字面，未能真正内化为法治思维、外化为行动自觉。例如，在处理新业态用工纠纷时，个别干部仍习惯用传统劳动关系认定标准生搬硬套，暴露出对“坚持以人民为中心”的法治理念领悟不深，运用法治方式破解复杂问题的能力不足。</w:t>
      </w:r>
    </w:p>
    <w:p w14:paraId="44E6A31D">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eastAsia="仿宋_GB2312" w:cs="Times New Roman"/>
          <w:sz w:val="32"/>
          <w:szCs w:val="32"/>
          <w:lang w:val="en-US" w:eastAsia="zh-CN"/>
        </w:rPr>
      </w:pPr>
      <w:r>
        <w:rPr>
          <w:rFonts w:hint="eastAsia" w:ascii="楷体" w:hAnsi="楷体" w:eastAsia="楷体" w:cs="楷体"/>
          <w:b/>
          <w:bCs/>
          <w:kern w:val="2"/>
          <w:sz w:val="32"/>
          <w:szCs w:val="32"/>
          <w:lang w:val="en-US" w:eastAsia="zh-CN" w:bidi="ar-SA"/>
        </w:rPr>
        <w:t>（二）依法行政与业务能力的适配性不强。</w:t>
      </w:r>
      <w:r>
        <w:rPr>
          <w:rFonts w:hint="eastAsia" w:eastAsia="仿宋_GB2312" w:cs="Times New Roman"/>
          <w:sz w:val="32"/>
          <w:szCs w:val="32"/>
          <w:lang w:val="en-US" w:eastAsia="zh-CN"/>
        </w:rPr>
        <w:t>社保待遇核定、劳动关系认定等领域政策迭代快、交叉性强（如“灵活就业人员参保新政”与“失业保险金申领条件”的衔接），而现有干部队伍存在“知识更新滞后于政策变化”的突出矛盾：一方面，系统培训频次不足，且内容多为政策条文罗列，缺乏“情景模拟+疑难案例复盘”等实战化教学；另一方面，部分干部存在“重经验轻法规”惯性，导致出现依法行政水平与业务复杂度不匹配的问题。</w:t>
      </w:r>
    </w:p>
    <w:p w14:paraId="427A27E0">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eastAsia="仿宋_GB2312" w:cs="Times New Roman"/>
          <w:sz w:val="32"/>
          <w:szCs w:val="32"/>
          <w:lang w:val="en-US" w:eastAsia="zh-CN"/>
        </w:rPr>
      </w:pPr>
      <w:r>
        <w:rPr>
          <w:rFonts w:hint="eastAsia" w:ascii="楷体" w:hAnsi="楷体" w:eastAsia="楷体" w:cs="楷体"/>
          <w:b/>
          <w:bCs/>
          <w:kern w:val="2"/>
          <w:sz w:val="32"/>
          <w:szCs w:val="32"/>
          <w:lang w:val="en-US" w:eastAsia="zh-CN" w:bidi="ar-SA"/>
        </w:rPr>
        <w:t>（三）案件应对与处置能力的挑战加剧。</w:t>
      </w:r>
      <w:r>
        <w:rPr>
          <w:rFonts w:hint="eastAsia" w:eastAsia="仿宋_GB2312" w:cs="Times New Roman"/>
          <w:sz w:val="32"/>
          <w:szCs w:val="32"/>
          <w:lang w:val="en-US" w:eastAsia="zh-CN"/>
        </w:rPr>
        <w:t>随着群众法治意识显著增强，2025年劳动关系投诉举报量同比增长10%（达2679件），且案件呈现“三化”特征：</w:t>
      </w:r>
      <w:r>
        <w:rPr>
          <w:rFonts w:hint="eastAsia" w:eastAsia="仿宋_GB2312" w:cs="Times New Roman"/>
          <w:b/>
          <w:bCs/>
          <w:sz w:val="32"/>
          <w:szCs w:val="32"/>
          <w:lang w:val="en-US" w:eastAsia="zh-CN"/>
        </w:rPr>
        <w:t>一是</w:t>
      </w:r>
      <w:r>
        <w:rPr>
          <w:rFonts w:hint="eastAsia" w:eastAsia="仿宋_GB2312" w:cs="Times New Roman"/>
          <w:sz w:val="32"/>
          <w:szCs w:val="32"/>
          <w:lang w:val="en-US" w:eastAsia="zh-CN"/>
        </w:rPr>
        <w:t>新型化，外卖骑手、网约车司机等新就业形态欠薪纠纷占比攀升，劳动关系认定、责任主体追溯难度远超传统案件；</w:t>
      </w:r>
      <w:r>
        <w:rPr>
          <w:rFonts w:hint="eastAsia" w:eastAsia="仿宋_GB2312" w:cs="Times New Roman"/>
          <w:b/>
          <w:bCs/>
          <w:sz w:val="32"/>
          <w:szCs w:val="32"/>
          <w:lang w:val="en-US" w:eastAsia="zh-CN"/>
        </w:rPr>
        <w:t>二是</w:t>
      </w:r>
      <w:r>
        <w:rPr>
          <w:rFonts w:hint="eastAsia" w:eastAsia="仿宋_GB2312" w:cs="Times New Roman"/>
          <w:sz w:val="32"/>
          <w:szCs w:val="32"/>
          <w:lang w:val="en-US" w:eastAsia="zh-CN"/>
        </w:rPr>
        <w:t>复杂化，单案涉及跨地区用工、多重法律关系叠加的情况增多，证据收集与责任划分耗时较以往增加；</w:t>
      </w:r>
      <w:r>
        <w:rPr>
          <w:rFonts w:hint="eastAsia" w:eastAsia="仿宋_GB2312" w:cs="Times New Roman"/>
          <w:b/>
          <w:bCs/>
          <w:sz w:val="32"/>
          <w:szCs w:val="32"/>
          <w:lang w:val="en-US" w:eastAsia="zh-CN"/>
        </w:rPr>
        <w:t>三是</w:t>
      </w:r>
      <w:r>
        <w:rPr>
          <w:rFonts w:hint="eastAsia" w:eastAsia="仿宋_GB2312" w:cs="Times New Roman"/>
          <w:sz w:val="32"/>
          <w:szCs w:val="32"/>
          <w:lang w:val="en-US" w:eastAsia="zh-CN"/>
        </w:rPr>
        <w:t>多元化，除工资支付外，社保补缴、工伤认定等复合型诉求激增，对调解仲裁、行政执法、信访维稳的协同处置能力提出更高要求。</w:t>
      </w:r>
    </w:p>
    <w:p w14:paraId="5C1F39E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lang w:val="en-US" w:eastAsia="zh-CN"/>
        </w:rPr>
        <w:t>202</w:t>
      </w:r>
      <w:r>
        <w:rPr>
          <w:rFonts w:hint="eastAsia" w:eastAsia="黑体" w:cs="Times New Roman"/>
          <w:color w:val="auto"/>
          <w:sz w:val="32"/>
          <w:szCs w:val="32"/>
          <w:lang w:val="en-US" w:eastAsia="zh-CN"/>
        </w:rPr>
        <w:t>6</w:t>
      </w:r>
      <w:r>
        <w:rPr>
          <w:rFonts w:hint="default" w:ascii="Times New Roman" w:hAnsi="Times New Roman" w:eastAsia="黑体" w:cs="Times New Roman"/>
          <w:color w:val="auto"/>
          <w:sz w:val="32"/>
          <w:szCs w:val="32"/>
          <w:lang w:val="en-US" w:eastAsia="zh-CN"/>
        </w:rPr>
        <w:t>年</w:t>
      </w:r>
      <w:r>
        <w:rPr>
          <w:rFonts w:hint="default" w:ascii="Times New Roman" w:hAnsi="Times New Roman" w:eastAsia="黑体" w:cs="Times New Roman"/>
          <w:color w:val="auto"/>
          <w:sz w:val="32"/>
          <w:szCs w:val="32"/>
        </w:rPr>
        <w:t>推进法治</w:t>
      </w:r>
      <w:r>
        <w:rPr>
          <w:rFonts w:hint="eastAsia" w:eastAsia="黑体" w:cs="Times New Roman"/>
          <w:color w:val="auto"/>
          <w:sz w:val="32"/>
          <w:szCs w:val="32"/>
          <w:lang w:eastAsia="zh-CN"/>
        </w:rPr>
        <w:t>人社</w:t>
      </w:r>
      <w:r>
        <w:rPr>
          <w:rFonts w:hint="default" w:ascii="Times New Roman" w:hAnsi="Times New Roman" w:eastAsia="黑体" w:cs="Times New Roman"/>
          <w:color w:val="auto"/>
          <w:sz w:val="32"/>
          <w:szCs w:val="32"/>
        </w:rPr>
        <w:t>建设的初步安排</w:t>
      </w:r>
    </w:p>
    <w:p w14:paraId="6014075D">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以“法治引领、服务民生、改革创新”为主线，着力解决人社领域法治建设中的突出问题，推动法治人社建设向纵深发展，为我县人社事业高质量发展提供坚实法治保障。</w:t>
      </w:r>
    </w:p>
    <w:p w14:paraId="5B9AE3C1">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default" w:ascii="楷体" w:hAnsi="楷体" w:eastAsia="楷体" w:cs="楷体"/>
          <w:b/>
          <w:bCs/>
          <w:kern w:val="2"/>
          <w:sz w:val="32"/>
          <w:szCs w:val="32"/>
          <w:lang w:val="en-US" w:eastAsia="zh-CN" w:bidi="ar-SA"/>
        </w:rPr>
      </w:pPr>
      <w:r>
        <w:rPr>
          <w:rFonts w:hint="default" w:ascii="楷体" w:hAnsi="楷体" w:eastAsia="楷体" w:cs="楷体"/>
          <w:b/>
          <w:bCs/>
          <w:kern w:val="2"/>
          <w:sz w:val="32"/>
          <w:szCs w:val="32"/>
          <w:lang w:val="en-US" w:eastAsia="zh-CN" w:bidi="ar-SA"/>
        </w:rPr>
        <w:t>（一）深学笃行习近平法治思想，筑牢法治人社思想根基</w:t>
      </w:r>
    </w:p>
    <w:p w14:paraId="1EEAD76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坚持把习近平法治思想作为新时代法治人社建设的根本遵循和行动指南，以“学思用贯通、知信行统一”为目标，推动法治精神入脑入心。</w:t>
      </w:r>
      <w:r>
        <w:rPr>
          <w:rFonts w:hint="default" w:eastAsia="仿宋_GB2312" w:cs="Times New Roman"/>
          <w:b/>
          <w:bCs/>
          <w:sz w:val="32"/>
          <w:szCs w:val="32"/>
          <w:lang w:val="en-US" w:eastAsia="zh-CN"/>
        </w:rPr>
        <w:t>一是</w:t>
      </w:r>
      <w:r>
        <w:rPr>
          <w:rFonts w:hint="default" w:eastAsia="仿宋_GB2312" w:cs="Times New Roman"/>
          <w:sz w:val="32"/>
          <w:szCs w:val="32"/>
          <w:lang w:val="en-US" w:eastAsia="zh-CN"/>
        </w:rPr>
        <w:t>深化理论武装，将学习贯彻习近平法治思想与党的二十大</w:t>
      </w:r>
      <w:r>
        <w:rPr>
          <w:rFonts w:hint="eastAsia" w:eastAsia="仿宋_GB2312" w:cs="Times New Roman"/>
          <w:sz w:val="32"/>
          <w:szCs w:val="32"/>
          <w:lang w:val="en-US" w:eastAsia="zh-CN"/>
        </w:rPr>
        <w:t>和</w:t>
      </w:r>
      <w:r>
        <w:rPr>
          <w:rFonts w:hint="default" w:eastAsia="仿宋_GB2312" w:cs="Times New Roman"/>
          <w:sz w:val="32"/>
          <w:szCs w:val="32"/>
          <w:lang w:val="en-US" w:eastAsia="zh-CN"/>
        </w:rPr>
        <w:t>二十届</w:t>
      </w:r>
      <w:r>
        <w:rPr>
          <w:rFonts w:hint="eastAsia" w:eastAsia="仿宋_GB2312" w:cs="Times New Roman"/>
          <w:sz w:val="32"/>
          <w:szCs w:val="32"/>
          <w:lang w:val="en-US" w:eastAsia="zh-CN"/>
        </w:rPr>
        <w:t>历次</w:t>
      </w:r>
      <w:r>
        <w:rPr>
          <w:rFonts w:hint="default" w:eastAsia="仿宋_GB2312" w:cs="Times New Roman"/>
          <w:sz w:val="32"/>
          <w:szCs w:val="32"/>
          <w:lang w:val="en-US" w:eastAsia="zh-CN"/>
        </w:rPr>
        <w:t>全会精神紧密结合，纳入党组理论学习中心组、支部“三会一课”、干部教育培训必修内容，通过专题研讨、辅导讲座、在线学习等形式，引导党员干部深刻领会“十一个坚持”的核心要义和实践要求，切实把学习成果转化为推动人社事业发展的思路举措。</w:t>
      </w:r>
      <w:r>
        <w:rPr>
          <w:rFonts w:hint="default" w:eastAsia="仿宋_GB2312" w:cs="Times New Roman"/>
          <w:b/>
          <w:bCs/>
          <w:sz w:val="32"/>
          <w:szCs w:val="32"/>
          <w:lang w:val="en-US" w:eastAsia="zh-CN"/>
        </w:rPr>
        <w:t>二是</w:t>
      </w:r>
      <w:r>
        <w:rPr>
          <w:rFonts w:hint="default" w:eastAsia="仿宋_GB2312" w:cs="Times New Roman"/>
          <w:sz w:val="32"/>
          <w:szCs w:val="32"/>
          <w:lang w:val="en-US" w:eastAsia="zh-CN"/>
        </w:rPr>
        <w:t>强化党内法规宣贯，以党章为根本遵循，系统学习《中国共产党廉洁自律准则》《中国共产党纪律处分条例》等党内法规，通过案例警示、知识测试等方式，推动党内法规学习常态化制度化，教育引导党员干部始终牢记“国法高于一切、党纪严于国法”，自觉做党章党规党纪和国家法律的忠实崇尚者、自觉遵守者、坚定捍卫者，为人社领域改革攻坚、服务民生提供坚强政治保证。</w:t>
      </w:r>
    </w:p>
    <w:p w14:paraId="3A5B5F02">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default" w:ascii="楷体" w:hAnsi="楷体" w:eastAsia="楷体" w:cs="楷体"/>
          <w:b/>
          <w:bCs/>
          <w:kern w:val="2"/>
          <w:sz w:val="32"/>
          <w:szCs w:val="32"/>
          <w:lang w:val="en-US" w:eastAsia="zh-CN" w:bidi="ar-SA"/>
        </w:rPr>
      </w:pPr>
      <w:r>
        <w:rPr>
          <w:rFonts w:hint="default" w:ascii="楷体" w:hAnsi="楷体" w:eastAsia="楷体" w:cs="楷体"/>
          <w:b/>
          <w:bCs/>
          <w:kern w:val="2"/>
          <w:sz w:val="32"/>
          <w:szCs w:val="32"/>
          <w:lang w:val="en-US" w:eastAsia="zh-CN" w:bidi="ar-SA"/>
        </w:rPr>
        <w:t>（二）锚定依法行政关键环节，提升人社治理法治化水平</w:t>
      </w:r>
    </w:p>
    <w:p w14:paraId="5F55072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以“严格规范公正文明执法”为核心，聚焦群众急难愁盼问题，全面提升依法行政质效。</w:t>
      </w:r>
      <w:r>
        <w:rPr>
          <w:rFonts w:hint="default" w:eastAsia="仿宋_GB2312" w:cs="Times New Roman"/>
          <w:b/>
          <w:bCs/>
          <w:sz w:val="32"/>
          <w:szCs w:val="32"/>
          <w:lang w:val="en-US" w:eastAsia="zh-CN"/>
        </w:rPr>
        <w:t>一是</w:t>
      </w:r>
      <w:r>
        <w:rPr>
          <w:rFonts w:hint="default" w:eastAsia="仿宋_GB2312" w:cs="Times New Roman"/>
          <w:sz w:val="32"/>
          <w:szCs w:val="32"/>
          <w:lang w:val="en-US" w:eastAsia="zh-CN"/>
        </w:rPr>
        <w:t>突出执法重点领域攻坚，紧盯就业创业补贴发放、社保基金监管、农民工工资支付、人力资源市场秩序等直接关系群众切身利益的领域，加大执法频次和力度，严厉打击欺诈骗保、拖欠工资、非法职介等违法行为，切实维护群众合法权益。</w:t>
      </w:r>
      <w:r>
        <w:rPr>
          <w:rFonts w:hint="default" w:eastAsia="仿宋_GB2312" w:cs="Times New Roman"/>
          <w:b/>
          <w:bCs/>
          <w:sz w:val="32"/>
          <w:szCs w:val="32"/>
          <w:lang w:val="en-US" w:eastAsia="zh-CN"/>
        </w:rPr>
        <w:t>二是</w:t>
      </w:r>
      <w:r>
        <w:rPr>
          <w:rFonts w:hint="default" w:eastAsia="仿宋_GB2312" w:cs="Times New Roman"/>
          <w:sz w:val="32"/>
          <w:szCs w:val="32"/>
          <w:lang w:val="en-US" w:eastAsia="zh-CN"/>
        </w:rPr>
        <w:t>规范行政执法全流程管理，严格执行行政执法公示、全过程记录、重大执法决定法制审核“三项制度”，明确执法权限、流程和标准，杜绝选择性执法、随意性执法；定期开展执法案卷评查和典型案例剖析，倒逼执法行为规范化、精细化。</w:t>
      </w:r>
      <w:r>
        <w:rPr>
          <w:rFonts w:hint="default" w:eastAsia="仿宋_GB2312" w:cs="Times New Roman"/>
          <w:b/>
          <w:bCs/>
          <w:sz w:val="32"/>
          <w:szCs w:val="32"/>
          <w:lang w:val="en-US" w:eastAsia="zh-CN"/>
        </w:rPr>
        <w:t>三是</w:t>
      </w:r>
      <w:r>
        <w:rPr>
          <w:rFonts w:hint="default" w:eastAsia="仿宋_GB2312" w:cs="Times New Roman"/>
          <w:sz w:val="32"/>
          <w:szCs w:val="32"/>
          <w:lang w:val="en-US" w:eastAsia="zh-CN"/>
        </w:rPr>
        <w:t>强化法治能力建设，实施“执法人员素质提升工程”，通过专题培训、模拟执法、跟班学习等方式，系统学习《行政处罚法》《行政强制法》等法律法规，提升执法人员法律素养和实操能力；引导党员干部牢固树立“法治为民”理念，自觉运用法治思维破解就业服务、社会保障、劳动关系等领域的复杂问题，以公开透明的执法环境提升人社部门公信力，确保各项民生工作始终在法治化轨道上高效运行。</w:t>
      </w:r>
    </w:p>
    <w:p w14:paraId="5B8F9B94">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default" w:ascii="楷体" w:hAnsi="楷体" w:eastAsia="楷体" w:cs="楷体"/>
          <w:b/>
          <w:bCs/>
          <w:kern w:val="2"/>
          <w:sz w:val="32"/>
          <w:szCs w:val="32"/>
          <w:lang w:val="en-US" w:eastAsia="zh-CN" w:bidi="ar-SA"/>
        </w:rPr>
      </w:pPr>
      <w:r>
        <w:rPr>
          <w:rFonts w:hint="default" w:ascii="楷体" w:hAnsi="楷体" w:eastAsia="楷体" w:cs="楷体"/>
          <w:b/>
          <w:bCs/>
          <w:kern w:val="2"/>
          <w:sz w:val="32"/>
          <w:szCs w:val="32"/>
          <w:lang w:val="en-US" w:eastAsia="zh-CN" w:bidi="ar-SA"/>
        </w:rPr>
        <w:t>（三）创新拓展普法宣传载体，厚植人社领域法治文化土壤</w:t>
      </w:r>
    </w:p>
    <w:p w14:paraId="7DC70B0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eastAsia="仿宋_GB2312" w:cs="Times New Roman"/>
          <w:sz w:val="32"/>
          <w:szCs w:val="32"/>
          <w:lang w:val="en-US" w:eastAsia="zh-CN"/>
        </w:rPr>
        <w:t>立足人社职能特点，以“精准普法、按需送法”为导向，推动法治宣传从“大水漫灌”向“精准滴灌”转变。</w:t>
      </w:r>
      <w:r>
        <w:rPr>
          <w:rFonts w:hint="default" w:eastAsia="仿宋_GB2312" w:cs="Times New Roman"/>
          <w:b/>
          <w:bCs/>
          <w:sz w:val="32"/>
          <w:szCs w:val="32"/>
          <w:lang w:val="en-US" w:eastAsia="zh-CN"/>
        </w:rPr>
        <w:t>一是</w:t>
      </w:r>
      <w:r>
        <w:rPr>
          <w:rFonts w:hint="default" w:eastAsia="仿宋_GB2312" w:cs="Times New Roman"/>
          <w:sz w:val="32"/>
          <w:szCs w:val="32"/>
          <w:lang w:val="en-US" w:eastAsia="zh-CN"/>
        </w:rPr>
        <w:t>聚焦重点对象分层施教，针对企业经营者，开展“送法进企业”系列活动，通过政策宣讲会等形式，深入解读《劳动合同法》《社会保险法》中关于劳动合同签订、社保缴纳、工资支付等规定，引导企业依法用工、规范管理；针对劳动者群体，依托“春风行动”“就业援助月”等平台，通过现场咨询、案例展播、短视频解读等方式，普及《保障农民工工资支付条例》《劳动争议调解仲裁法》等法规，提升劳动者依法维权意识和能力；针对新业态从业者、灵活就业人员等特殊群体，精准推送劳动权益保护、工伤认定等政策要点。</w:t>
      </w:r>
      <w:r>
        <w:rPr>
          <w:rFonts w:hint="default" w:eastAsia="仿宋_GB2312" w:cs="Times New Roman"/>
          <w:b/>
          <w:bCs/>
          <w:sz w:val="32"/>
          <w:szCs w:val="32"/>
          <w:lang w:val="en-US" w:eastAsia="zh-CN"/>
        </w:rPr>
        <w:t>二是</w:t>
      </w:r>
      <w:r>
        <w:rPr>
          <w:rFonts w:hint="default" w:eastAsia="仿宋_GB2312" w:cs="Times New Roman"/>
          <w:sz w:val="32"/>
          <w:szCs w:val="32"/>
          <w:lang w:val="en-US" w:eastAsia="zh-CN"/>
        </w:rPr>
        <w:t>丰富普法形式增强实效，打造“线上+线下”立体宣传矩阵：线上依托抖音等新媒体，制作“以案释法”微视频等通俗易懂的宣传产品，年度发布不少于</w:t>
      </w:r>
      <w:r>
        <w:rPr>
          <w:rFonts w:hint="eastAsia" w:eastAsia="仿宋_GB2312" w:cs="Times New Roman"/>
          <w:sz w:val="32"/>
          <w:szCs w:val="32"/>
          <w:lang w:val="en-US" w:eastAsia="zh-CN"/>
        </w:rPr>
        <w:t>12</w:t>
      </w:r>
      <w:r>
        <w:rPr>
          <w:rFonts w:hint="default" w:eastAsia="仿宋_GB2312" w:cs="Times New Roman"/>
          <w:sz w:val="32"/>
          <w:szCs w:val="32"/>
          <w:lang w:val="en-US" w:eastAsia="zh-CN"/>
        </w:rPr>
        <w:t>期；线下结合“12·4”国家宪法日、民法典宣传月等重要节点，开展“法治人社进社区、进工地、进园区”主题活动，发放普法手册、设置互动问答区，让群众在参与中感受法治温度。</w:t>
      </w:r>
      <w:r>
        <w:rPr>
          <w:rFonts w:hint="default" w:eastAsia="仿宋_GB2312" w:cs="Times New Roman"/>
          <w:b/>
          <w:bCs/>
          <w:sz w:val="32"/>
          <w:szCs w:val="32"/>
          <w:lang w:val="en-US" w:eastAsia="zh-CN"/>
        </w:rPr>
        <w:t>三是</w:t>
      </w:r>
      <w:r>
        <w:rPr>
          <w:rFonts w:hint="default" w:eastAsia="仿宋_GB2312" w:cs="Times New Roman"/>
          <w:sz w:val="32"/>
          <w:szCs w:val="32"/>
          <w:lang w:val="en-US" w:eastAsia="zh-CN"/>
        </w:rPr>
        <w:t>深化“以案促普”长效机制，选取社保欺诈、欠薪维权、劳动合同纠纷等典型案例，通过庭审观摩、案例汇编等形式公开曝光，用身边事教育身边人，推动形成“企业守法经营、职工知法用法、社会崇法尚德”的良好氛围，为构建和谐劳动关系、促进社会公平正义奠定坚实基础。</w:t>
      </w:r>
    </w:p>
    <w:p w14:paraId="17313762">
      <w:pPr>
        <w:spacing w:line="560" w:lineRule="exact"/>
        <w:ind w:firstLine="640" w:firstLineChars="200"/>
        <w:rPr>
          <w:rFonts w:hint="default" w:ascii="Times New Roman" w:hAnsi="Times New Roman" w:eastAsia="仿宋_GB2312" w:cs="Times New Roman"/>
          <w:sz w:val="32"/>
          <w:szCs w:val="32"/>
          <w:lang w:val="en-US" w:eastAsia="zh-CN"/>
        </w:rPr>
      </w:pPr>
    </w:p>
    <w:p w14:paraId="2DD2C74F">
      <w:pPr>
        <w:spacing w:line="560" w:lineRule="exact"/>
        <w:ind w:firstLine="640" w:firstLineChars="200"/>
        <w:rPr>
          <w:rFonts w:hint="default" w:ascii="Times New Roman" w:hAnsi="Times New Roman" w:eastAsia="仿宋_GB2312" w:cs="Times New Roman"/>
          <w:sz w:val="32"/>
          <w:szCs w:val="32"/>
          <w:lang w:val="en-US" w:eastAsia="zh-CN"/>
        </w:rPr>
      </w:pPr>
    </w:p>
    <w:p w14:paraId="132F3427">
      <w:pPr>
        <w:spacing w:line="560" w:lineRule="exact"/>
        <w:ind w:firstLine="640" w:firstLineChars="200"/>
        <w:rPr>
          <w:rFonts w:hint="default" w:ascii="Times New Roman" w:hAnsi="Times New Roman" w:eastAsia="仿宋_GB2312" w:cs="Times New Roman"/>
          <w:sz w:val="32"/>
          <w:szCs w:val="32"/>
          <w:lang w:val="en-US" w:eastAsia="zh-CN"/>
        </w:rPr>
      </w:pPr>
    </w:p>
    <w:p w14:paraId="5D184D31">
      <w:pPr>
        <w:spacing w:line="560" w:lineRule="exact"/>
        <w:ind w:firstLine="3360" w:firstLineChars="1600"/>
        <w:rPr>
          <w:rFonts w:hint="default"/>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871" w:right="1474" w:bottom="170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B63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E393CF">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4E393CF">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F793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0D4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2A05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9D1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09ED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NDdmZjMwMTZjYjEyYzc2YzRhZTI4ZWUwMWVjZTQifQ=="/>
    <w:docVar w:name="KSO_WPS_MARK_KEY" w:val="beac984b-7e74-42c8-83af-4de54ddee126"/>
  </w:docVars>
  <w:rsids>
    <w:rsidRoot w:val="009F44B0"/>
    <w:rsid w:val="000066C6"/>
    <w:rsid w:val="0001444C"/>
    <w:rsid w:val="00016DB4"/>
    <w:rsid w:val="00023E43"/>
    <w:rsid w:val="00031049"/>
    <w:rsid w:val="00037086"/>
    <w:rsid w:val="000407F2"/>
    <w:rsid w:val="000670BF"/>
    <w:rsid w:val="00067E83"/>
    <w:rsid w:val="00074990"/>
    <w:rsid w:val="00087F2F"/>
    <w:rsid w:val="00090FE4"/>
    <w:rsid w:val="000974A2"/>
    <w:rsid w:val="000E1A97"/>
    <w:rsid w:val="000E6710"/>
    <w:rsid w:val="00101CA9"/>
    <w:rsid w:val="00105B25"/>
    <w:rsid w:val="00125659"/>
    <w:rsid w:val="001305D2"/>
    <w:rsid w:val="00152FB7"/>
    <w:rsid w:val="00170CCF"/>
    <w:rsid w:val="00184576"/>
    <w:rsid w:val="00191B0B"/>
    <w:rsid w:val="00193A91"/>
    <w:rsid w:val="001C4E00"/>
    <w:rsid w:val="001C6809"/>
    <w:rsid w:val="001C7EEE"/>
    <w:rsid w:val="001D7E7F"/>
    <w:rsid w:val="001E535C"/>
    <w:rsid w:val="001E5969"/>
    <w:rsid w:val="001F0A27"/>
    <w:rsid w:val="001F0BD3"/>
    <w:rsid w:val="001F54E0"/>
    <w:rsid w:val="00201280"/>
    <w:rsid w:val="00216664"/>
    <w:rsid w:val="002239F2"/>
    <w:rsid w:val="00231D83"/>
    <w:rsid w:val="00240CD8"/>
    <w:rsid w:val="0026027F"/>
    <w:rsid w:val="002609E6"/>
    <w:rsid w:val="00261664"/>
    <w:rsid w:val="00275C48"/>
    <w:rsid w:val="002A3076"/>
    <w:rsid w:val="002B580F"/>
    <w:rsid w:val="002F44C8"/>
    <w:rsid w:val="002F5030"/>
    <w:rsid w:val="00301D2D"/>
    <w:rsid w:val="003168D8"/>
    <w:rsid w:val="00317396"/>
    <w:rsid w:val="00347BA8"/>
    <w:rsid w:val="00361D50"/>
    <w:rsid w:val="00390C60"/>
    <w:rsid w:val="003A05B4"/>
    <w:rsid w:val="003B0258"/>
    <w:rsid w:val="003C70E3"/>
    <w:rsid w:val="003D1378"/>
    <w:rsid w:val="003D7C30"/>
    <w:rsid w:val="003F6F37"/>
    <w:rsid w:val="00401672"/>
    <w:rsid w:val="00416EB8"/>
    <w:rsid w:val="00421D1E"/>
    <w:rsid w:val="00440680"/>
    <w:rsid w:val="0044255D"/>
    <w:rsid w:val="004439E5"/>
    <w:rsid w:val="004564A0"/>
    <w:rsid w:val="004614E0"/>
    <w:rsid w:val="00493E64"/>
    <w:rsid w:val="004C1F7B"/>
    <w:rsid w:val="004C5020"/>
    <w:rsid w:val="004D011D"/>
    <w:rsid w:val="004D33ED"/>
    <w:rsid w:val="004F4736"/>
    <w:rsid w:val="004F6BCD"/>
    <w:rsid w:val="0051044B"/>
    <w:rsid w:val="0051514A"/>
    <w:rsid w:val="00517AE1"/>
    <w:rsid w:val="00541C89"/>
    <w:rsid w:val="0054515B"/>
    <w:rsid w:val="00546556"/>
    <w:rsid w:val="00547062"/>
    <w:rsid w:val="00563119"/>
    <w:rsid w:val="005836C9"/>
    <w:rsid w:val="00596E83"/>
    <w:rsid w:val="005A12DD"/>
    <w:rsid w:val="005B2D10"/>
    <w:rsid w:val="005C04F4"/>
    <w:rsid w:val="005C2110"/>
    <w:rsid w:val="005C2247"/>
    <w:rsid w:val="005C5CAB"/>
    <w:rsid w:val="005C6A35"/>
    <w:rsid w:val="005D0E13"/>
    <w:rsid w:val="005D1134"/>
    <w:rsid w:val="005D5487"/>
    <w:rsid w:val="005E7593"/>
    <w:rsid w:val="005F5034"/>
    <w:rsid w:val="005F76B0"/>
    <w:rsid w:val="005F7AFF"/>
    <w:rsid w:val="006147FF"/>
    <w:rsid w:val="00630C0E"/>
    <w:rsid w:val="00647B95"/>
    <w:rsid w:val="00667D81"/>
    <w:rsid w:val="00675B50"/>
    <w:rsid w:val="00680AC9"/>
    <w:rsid w:val="00683774"/>
    <w:rsid w:val="00687AE2"/>
    <w:rsid w:val="006A4B96"/>
    <w:rsid w:val="006C6A94"/>
    <w:rsid w:val="006D61A9"/>
    <w:rsid w:val="006E6481"/>
    <w:rsid w:val="006F1D4E"/>
    <w:rsid w:val="006F5548"/>
    <w:rsid w:val="006F7630"/>
    <w:rsid w:val="00701057"/>
    <w:rsid w:val="00711E4C"/>
    <w:rsid w:val="00716D76"/>
    <w:rsid w:val="00725B9C"/>
    <w:rsid w:val="007302C2"/>
    <w:rsid w:val="00737F48"/>
    <w:rsid w:val="007602B7"/>
    <w:rsid w:val="00781FCD"/>
    <w:rsid w:val="007938AB"/>
    <w:rsid w:val="00796E73"/>
    <w:rsid w:val="007A45C0"/>
    <w:rsid w:val="007D33D3"/>
    <w:rsid w:val="007E177D"/>
    <w:rsid w:val="007E475A"/>
    <w:rsid w:val="007E4EAA"/>
    <w:rsid w:val="00821A4F"/>
    <w:rsid w:val="00840C07"/>
    <w:rsid w:val="00846606"/>
    <w:rsid w:val="00874132"/>
    <w:rsid w:val="00883A63"/>
    <w:rsid w:val="008B5374"/>
    <w:rsid w:val="008B5562"/>
    <w:rsid w:val="008C482A"/>
    <w:rsid w:val="008D4745"/>
    <w:rsid w:val="008D648E"/>
    <w:rsid w:val="008F0E7B"/>
    <w:rsid w:val="009015F5"/>
    <w:rsid w:val="00902702"/>
    <w:rsid w:val="009127AA"/>
    <w:rsid w:val="00951DDE"/>
    <w:rsid w:val="00960A8F"/>
    <w:rsid w:val="009748D8"/>
    <w:rsid w:val="00974FC5"/>
    <w:rsid w:val="00975DA8"/>
    <w:rsid w:val="009839F5"/>
    <w:rsid w:val="00985A4F"/>
    <w:rsid w:val="00990979"/>
    <w:rsid w:val="00991016"/>
    <w:rsid w:val="00991ED5"/>
    <w:rsid w:val="009C47AC"/>
    <w:rsid w:val="009F0575"/>
    <w:rsid w:val="009F1443"/>
    <w:rsid w:val="009F44B0"/>
    <w:rsid w:val="00A071CA"/>
    <w:rsid w:val="00A07252"/>
    <w:rsid w:val="00A0789C"/>
    <w:rsid w:val="00A07DD7"/>
    <w:rsid w:val="00A11983"/>
    <w:rsid w:val="00A26959"/>
    <w:rsid w:val="00A62FE9"/>
    <w:rsid w:val="00A733AB"/>
    <w:rsid w:val="00A74C61"/>
    <w:rsid w:val="00A77AB1"/>
    <w:rsid w:val="00AA3E40"/>
    <w:rsid w:val="00AB7AFE"/>
    <w:rsid w:val="00AC5C38"/>
    <w:rsid w:val="00AE503E"/>
    <w:rsid w:val="00AF2806"/>
    <w:rsid w:val="00B01299"/>
    <w:rsid w:val="00B36263"/>
    <w:rsid w:val="00B547E8"/>
    <w:rsid w:val="00B6369B"/>
    <w:rsid w:val="00B67CC1"/>
    <w:rsid w:val="00B76387"/>
    <w:rsid w:val="00B77904"/>
    <w:rsid w:val="00B81F69"/>
    <w:rsid w:val="00BA3C82"/>
    <w:rsid w:val="00BA4F36"/>
    <w:rsid w:val="00BB3F3F"/>
    <w:rsid w:val="00BB50BF"/>
    <w:rsid w:val="00BB52CD"/>
    <w:rsid w:val="00BE6A92"/>
    <w:rsid w:val="00BF1B8F"/>
    <w:rsid w:val="00C01839"/>
    <w:rsid w:val="00C0499F"/>
    <w:rsid w:val="00C070D9"/>
    <w:rsid w:val="00C273F6"/>
    <w:rsid w:val="00C46061"/>
    <w:rsid w:val="00C61F36"/>
    <w:rsid w:val="00C635B2"/>
    <w:rsid w:val="00C72ABD"/>
    <w:rsid w:val="00C83E4A"/>
    <w:rsid w:val="00CB5F6C"/>
    <w:rsid w:val="00CB6309"/>
    <w:rsid w:val="00CD2982"/>
    <w:rsid w:val="00CE766E"/>
    <w:rsid w:val="00D00E62"/>
    <w:rsid w:val="00D01CB6"/>
    <w:rsid w:val="00D038E4"/>
    <w:rsid w:val="00D071D0"/>
    <w:rsid w:val="00D11BF5"/>
    <w:rsid w:val="00D14CEF"/>
    <w:rsid w:val="00D17842"/>
    <w:rsid w:val="00D31144"/>
    <w:rsid w:val="00D43CBA"/>
    <w:rsid w:val="00D77D61"/>
    <w:rsid w:val="00D953D6"/>
    <w:rsid w:val="00DA63BD"/>
    <w:rsid w:val="00DB5284"/>
    <w:rsid w:val="00DB6075"/>
    <w:rsid w:val="00DC7BE8"/>
    <w:rsid w:val="00DD2CD1"/>
    <w:rsid w:val="00DD31BA"/>
    <w:rsid w:val="00DD4A53"/>
    <w:rsid w:val="00DD4EDC"/>
    <w:rsid w:val="00DD6034"/>
    <w:rsid w:val="00DE3ABE"/>
    <w:rsid w:val="00E02DB8"/>
    <w:rsid w:val="00E219D3"/>
    <w:rsid w:val="00E25A4D"/>
    <w:rsid w:val="00E26575"/>
    <w:rsid w:val="00E41D87"/>
    <w:rsid w:val="00E504C1"/>
    <w:rsid w:val="00E608EC"/>
    <w:rsid w:val="00E75E73"/>
    <w:rsid w:val="00EB16D7"/>
    <w:rsid w:val="00EB488B"/>
    <w:rsid w:val="00EC04A9"/>
    <w:rsid w:val="00EC756A"/>
    <w:rsid w:val="00EE270F"/>
    <w:rsid w:val="00EF2234"/>
    <w:rsid w:val="00EF3082"/>
    <w:rsid w:val="00F0615A"/>
    <w:rsid w:val="00F144D0"/>
    <w:rsid w:val="00F258FF"/>
    <w:rsid w:val="00F25CB3"/>
    <w:rsid w:val="00F60FFD"/>
    <w:rsid w:val="00F719B2"/>
    <w:rsid w:val="00F721D2"/>
    <w:rsid w:val="00F828D7"/>
    <w:rsid w:val="00FA1077"/>
    <w:rsid w:val="00FC2376"/>
    <w:rsid w:val="00FD4234"/>
    <w:rsid w:val="00FD5554"/>
    <w:rsid w:val="010936AA"/>
    <w:rsid w:val="010D6B89"/>
    <w:rsid w:val="014710C6"/>
    <w:rsid w:val="014845ED"/>
    <w:rsid w:val="0179019C"/>
    <w:rsid w:val="01A85993"/>
    <w:rsid w:val="04B52C5F"/>
    <w:rsid w:val="04BB296E"/>
    <w:rsid w:val="06905732"/>
    <w:rsid w:val="08852948"/>
    <w:rsid w:val="093525C0"/>
    <w:rsid w:val="09896468"/>
    <w:rsid w:val="0A4725AB"/>
    <w:rsid w:val="0B7510C5"/>
    <w:rsid w:val="0B9E31EB"/>
    <w:rsid w:val="0D8D4779"/>
    <w:rsid w:val="0DEC3F45"/>
    <w:rsid w:val="0E1D65A7"/>
    <w:rsid w:val="0FC63F72"/>
    <w:rsid w:val="0FF22FB9"/>
    <w:rsid w:val="1183590C"/>
    <w:rsid w:val="1413528F"/>
    <w:rsid w:val="14DA401C"/>
    <w:rsid w:val="15D36094"/>
    <w:rsid w:val="18491BE4"/>
    <w:rsid w:val="18906D17"/>
    <w:rsid w:val="18BD5E72"/>
    <w:rsid w:val="1914693D"/>
    <w:rsid w:val="191A3096"/>
    <w:rsid w:val="19BB266E"/>
    <w:rsid w:val="1A412055"/>
    <w:rsid w:val="1AF41B61"/>
    <w:rsid w:val="1F076775"/>
    <w:rsid w:val="208E5283"/>
    <w:rsid w:val="21A71EB3"/>
    <w:rsid w:val="21EB6E01"/>
    <w:rsid w:val="22DA0CFF"/>
    <w:rsid w:val="23617A5A"/>
    <w:rsid w:val="24C00853"/>
    <w:rsid w:val="2545641B"/>
    <w:rsid w:val="254B5963"/>
    <w:rsid w:val="286D2DB0"/>
    <w:rsid w:val="2B610862"/>
    <w:rsid w:val="2D246AB8"/>
    <w:rsid w:val="2E6C3ADF"/>
    <w:rsid w:val="30CD6117"/>
    <w:rsid w:val="36356EAC"/>
    <w:rsid w:val="374050AA"/>
    <w:rsid w:val="374A6DC6"/>
    <w:rsid w:val="37F449ED"/>
    <w:rsid w:val="387B108D"/>
    <w:rsid w:val="38EA21D0"/>
    <w:rsid w:val="3A5D72F5"/>
    <w:rsid w:val="3A9E5086"/>
    <w:rsid w:val="3B153AE9"/>
    <w:rsid w:val="3DCB5171"/>
    <w:rsid w:val="40354C58"/>
    <w:rsid w:val="438C407A"/>
    <w:rsid w:val="43C22061"/>
    <w:rsid w:val="447119F7"/>
    <w:rsid w:val="44B57B36"/>
    <w:rsid w:val="45CA5137"/>
    <w:rsid w:val="46674475"/>
    <w:rsid w:val="47B070E1"/>
    <w:rsid w:val="47DD7AD0"/>
    <w:rsid w:val="49520049"/>
    <w:rsid w:val="4A5120AF"/>
    <w:rsid w:val="4A5E5147"/>
    <w:rsid w:val="4BD50ABE"/>
    <w:rsid w:val="4C0F2222"/>
    <w:rsid w:val="4CB90818"/>
    <w:rsid w:val="4D21045F"/>
    <w:rsid w:val="4FA9473B"/>
    <w:rsid w:val="503009B9"/>
    <w:rsid w:val="504F5418"/>
    <w:rsid w:val="5122296A"/>
    <w:rsid w:val="51360251"/>
    <w:rsid w:val="514E65AA"/>
    <w:rsid w:val="524E5126"/>
    <w:rsid w:val="540A2938"/>
    <w:rsid w:val="54BE47E5"/>
    <w:rsid w:val="54C54F20"/>
    <w:rsid w:val="557F21C6"/>
    <w:rsid w:val="558772CD"/>
    <w:rsid w:val="55C36AC2"/>
    <w:rsid w:val="57FB18AC"/>
    <w:rsid w:val="58A2272B"/>
    <w:rsid w:val="5991071A"/>
    <w:rsid w:val="5D235B2D"/>
    <w:rsid w:val="5DDC6E4D"/>
    <w:rsid w:val="5EC90EB9"/>
    <w:rsid w:val="5F8B0734"/>
    <w:rsid w:val="60820DBC"/>
    <w:rsid w:val="62550AF8"/>
    <w:rsid w:val="628A29AE"/>
    <w:rsid w:val="6293593A"/>
    <w:rsid w:val="634A4773"/>
    <w:rsid w:val="65006728"/>
    <w:rsid w:val="66320B8F"/>
    <w:rsid w:val="67501A12"/>
    <w:rsid w:val="6E815015"/>
    <w:rsid w:val="6EF00976"/>
    <w:rsid w:val="6F094457"/>
    <w:rsid w:val="70A62563"/>
    <w:rsid w:val="70C402CF"/>
    <w:rsid w:val="72826BFE"/>
    <w:rsid w:val="72BC671D"/>
    <w:rsid w:val="731F59E5"/>
    <w:rsid w:val="741C10BA"/>
    <w:rsid w:val="76381AE3"/>
    <w:rsid w:val="7654410F"/>
    <w:rsid w:val="78F852BB"/>
    <w:rsid w:val="799B7C07"/>
    <w:rsid w:val="7BD06A28"/>
    <w:rsid w:val="7CD6006E"/>
    <w:rsid w:val="7E073E21"/>
    <w:rsid w:val="7E292420"/>
    <w:rsid w:val="7F5F59F0"/>
    <w:rsid w:val="7F69341C"/>
    <w:rsid w:val="7F9C6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customStyle="1" w:styleId="3">
    <w:name w:val="正文文本 21"/>
    <w:basedOn w:val="1"/>
    <w:autoRedefine/>
    <w:qFormat/>
    <w:uiPriority w:val="0"/>
    <w:pPr>
      <w:spacing w:after="120" w:line="480" w:lineRule="auto"/>
    </w:pPr>
    <w:rPr>
      <w:rFonts w:ascii="Times New Roman" w:hAnsi="Times New Roman"/>
    </w:rPr>
  </w:style>
  <w:style w:type="paragraph" w:styleId="4">
    <w:name w:val="Date"/>
    <w:basedOn w:val="1"/>
    <w:next w:val="1"/>
    <w:autoRedefine/>
    <w:qFormat/>
    <w:uiPriority w:val="0"/>
    <w:pPr>
      <w:ind w:left="100" w:leftChars="2500"/>
    </w:p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page number"/>
    <w:basedOn w:val="11"/>
    <w:autoRedefine/>
    <w:qFormat/>
    <w:uiPriority w:val="0"/>
  </w:style>
  <w:style w:type="character" w:customStyle="1" w:styleId="14">
    <w:name w:val="font11"/>
    <w:basedOn w:val="11"/>
    <w:autoRedefine/>
    <w:qFormat/>
    <w:uiPriority w:val="0"/>
    <w:rPr>
      <w:rFonts w:hint="eastAsia" w:ascii="仿宋_GB2312" w:eastAsia="仿宋_GB2312" w:cs="仿宋_GB2312"/>
      <w:color w:val="000000"/>
      <w:sz w:val="28"/>
      <w:szCs w:val="28"/>
      <w:u w:val="single"/>
    </w:rPr>
  </w:style>
  <w:style w:type="character" w:customStyle="1" w:styleId="15">
    <w:name w:val="font51"/>
    <w:basedOn w:val="11"/>
    <w:autoRedefine/>
    <w:qFormat/>
    <w:uiPriority w:val="0"/>
    <w:rPr>
      <w:rFonts w:hint="eastAsia" w:ascii="仿宋_GB2312" w:eastAsia="仿宋_GB2312" w:cs="仿宋_GB2312"/>
      <w:color w:val="000000"/>
      <w:sz w:val="28"/>
      <w:szCs w:val="28"/>
      <w:u w:val="none"/>
    </w:rPr>
  </w:style>
  <w:style w:type="character" w:customStyle="1" w:styleId="16">
    <w:name w:val="font01"/>
    <w:basedOn w:val="11"/>
    <w:autoRedefine/>
    <w:qFormat/>
    <w:uiPriority w:val="0"/>
    <w:rPr>
      <w:rFonts w:hint="eastAsia" w:ascii="仿宋_GB2312" w:eastAsia="仿宋_GB2312" w:cs="仿宋_GB2312"/>
      <w:color w:val="000000"/>
      <w:sz w:val="28"/>
      <w:szCs w:val="28"/>
      <w:u w:val="single"/>
    </w:rPr>
  </w:style>
  <w:style w:type="character" w:customStyle="1" w:styleId="17">
    <w:name w:val="font21"/>
    <w:basedOn w:val="11"/>
    <w:autoRedefine/>
    <w:qFormat/>
    <w:uiPriority w:val="0"/>
    <w:rPr>
      <w:rFonts w:hint="eastAsia" w:ascii="仿宋_GB2312" w:eastAsia="仿宋_GB2312" w:cs="仿宋_GB2312"/>
      <w:color w:val="000000"/>
      <w:sz w:val="28"/>
      <w:szCs w:val="28"/>
      <w:u w:val="none"/>
    </w:rPr>
  </w:style>
  <w:style w:type="character" w:customStyle="1" w:styleId="18">
    <w:name w:val="NormalCharacter"/>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4867</Words>
  <Characters>4964</Characters>
  <Lines>9</Lines>
  <Paragraphs>2</Paragraphs>
  <TotalTime>31</TotalTime>
  <ScaleCrop>false</ScaleCrop>
  <LinksUpToDate>false</LinksUpToDate>
  <CharactersWithSpaces>4968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2021-12-31T00:08:00Z</dcterms:created>
  <dc:creator>User</dc:creator>
  <cp:lastModifiedBy>路娇娇</cp:lastModifiedBy>
  <cp:lastPrinted>2024-12-02T08:57:00Z</cp:lastPrinted>
  <dcterms:modified xsi:type="dcterms:W3CDTF">2026-02-03T02:20:54Z</dcterms:modified>
  <dc:title>关于事业单位工作人员年度考核的实施意见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624C346467F34DC7ABF1774CC7D2D7E8_13</vt:lpwstr>
  </property>
  <property fmtid="{D5CDD505-2E9C-101B-9397-08002B2CF9AE}" pid="4" name="KSOTemplateDocerSaveRecord">
    <vt:lpwstr>eyJoZGlkIjoiYzViZWFmODM1ZGVkNjBmYjQyNTNhNDg3NGE5OTRmNTYiLCJ1c2VySWQiOiIyNzE1Njg1MTcifQ==</vt:lpwstr>
  </property>
</Properties>
</file>