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57F903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color w:val="0D0D0D" w:themeColor="text1" w:themeTint="F2"/>
          <w:spacing w:val="62"/>
          <w:sz w:val="30"/>
          <w:szCs w:val="30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D0D0D" w:themeColor="text1" w:themeTint="F2"/>
          <w:spacing w:val="62"/>
          <w:sz w:val="30"/>
          <w:szCs w:val="30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区六届人大常委会</w:t>
      </w:r>
    </w:p>
    <w:p w14:paraId="134EB707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color w:val="0D0D0D" w:themeColor="text1" w:themeTint="F2"/>
          <w:spacing w:val="0"/>
          <w:sz w:val="30"/>
          <w:szCs w:val="30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D0D0D" w:themeColor="text1" w:themeTint="F2"/>
          <w:spacing w:val="0"/>
          <w:sz w:val="30"/>
          <w:szCs w:val="30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第</w:t>
      </w:r>
      <w:r>
        <w:rPr>
          <w:rFonts w:hint="eastAsia" w:ascii="Times New Roman" w:hAnsi="Times New Roman" w:eastAsia="黑体" w:cs="Times New Roman"/>
          <w:b w:val="0"/>
          <w:bCs w:val="0"/>
          <w:color w:val="0D0D0D" w:themeColor="text1" w:themeTint="F2"/>
          <w:spacing w:val="0"/>
          <w:sz w:val="30"/>
          <w:szCs w:val="30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   </w:t>
      </w:r>
      <w:r>
        <w:rPr>
          <w:rFonts w:hint="default" w:ascii="Times New Roman" w:hAnsi="Times New Roman" w:eastAsia="黑体" w:cs="Times New Roman"/>
          <w:b w:val="0"/>
          <w:bCs w:val="0"/>
          <w:color w:val="0D0D0D" w:themeColor="text1" w:themeTint="F2"/>
          <w:spacing w:val="0"/>
          <w:sz w:val="30"/>
          <w:szCs w:val="30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次会议材料之</w:t>
      </w:r>
    </w:p>
    <w:p w14:paraId="1B7670E7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color w:val="0D0D0D" w:themeColor="text1" w:themeTint="F2"/>
          <w:spacing w:val="0"/>
          <w:sz w:val="30"/>
          <w:szCs w:val="30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0A372154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D0D0D" w:themeColor="text1" w:themeTint="F2"/>
          <w:w w:val="100"/>
          <w:sz w:val="44"/>
          <w:szCs w:val="4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D0D0D" w:themeColor="text1" w:themeTint="F2"/>
          <w:w w:val="100"/>
          <w:sz w:val="44"/>
          <w:szCs w:val="4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浉河区人民政府</w:t>
      </w:r>
    </w:p>
    <w:p w14:paraId="196C3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D0D0D" w:themeColor="text1" w:themeTint="F2"/>
          <w:spacing w:val="0"/>
          <w:w w:val="100"/>
          <w:sz w:val="44"/>
          <w:szCs w:val="4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D0D0D" w:themeColor="text1" w:themeTint="F2"/>
          <w:spacing w:val="0"/>
          <w:w w:val="100"/>
          <w:sz w:val="44"/>
          <w:szCs w:val="4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关于202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D0D0D" w:themeColor="text1" w:themeTint="F2"/>
          <w:spacing w:val="0"/>
          <w:w w:val="100"/>
          <w:sz w:val="44"/>
          <w:szCs w:val="44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5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D0D0D" w:themeColor="text1" w:themeTint="F2"/>
          <w:spacing w:val="0"/>
          <w:w w:val="100"/>
          <w:sz w:val="44"/>
          <w:szCs w:val="4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年预算调整方案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D0D0D" w:themeColor="text1" w:themeTint="F2"/>
          <w:spacing w:val="0"/>
          <w:w w:val="100"/>
          <w:sz w:val="44"/>
          <w:szCs w:val="44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（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D0D0D" w:themeColor="text1" w:themeTint="F2"/>
          <w:spacing w:val="0"/>
          <w:w w:val="100"/>
          <w:sz w:val="44"/>
          <w:szCs w:val="44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草案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D0D0D" w:themeColor="text1" w:themeTint="F2"/>
          <w:spacing w:val="0"/>
          <w:w w:val="100"/>
          <w:sz w:val="44"/>
          <w:szCs w:val="44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）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D0D0D" w:themeColor="text1" w:themeTint="F2"/>
          <w:spacing w:val="0"/>
          <w:w w:val="100"/>
          <w:sz w:val="44"/>
          <w:szCs w:val="4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的报告</w:t>
      </w:r>
    </w:p>
    <w:p w14:paraId="5D661CAA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center"/>
        <w:textAlignment w:val="auto"/>
        <w:rPr>
          <w:rFonts w:hint="eastAsia" w:ascii="楷体_GB2312" w:hAnsi="楷体_GB2312" w:eastAsia="楷体_GB2312" w:cs="楷体_GB2312"/>
          <w:b/>
          <w:bCs w:val="0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2025年12月  日</w:t>
      </w:r>
      <w:r>
        <w:rPr>
          <w:rFonts w:hint="eastAsia" w:ascii="楷体_GB2312" w:hAnsi="楷体_GB2312" w:eastAsia="楷体_GB2312" w:cs="楷体_GB2312"/>
          <w:b/>
          <w:bCs w:val="0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在区六届人大常委会第</w:t>
      </w:r>
      <w:r>
        <w:rPr>
          <w:rFonts w:hint="eastAsia" w:ascii="楷体_GB2312" w:hAnsi="楷体_GB2312" w:eastAsia="楷体_GB2312" w:cs="楷体_GB2312"/>
          <w:b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 </w:t>
      </w:r>
      <w:r>
        <w:rPr>
          <w:rFonts w:hint="eastAsia" w:ascii="楷体_GB2312" w:hAnsi="楷体_GB2312" w:eastAsia="楷体_GB2312" w:cs="楷体_GB2312"/>
          <w:b/>
          <w:bCs w:val="0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会议上</w:t>
      </w:r>
    </w:p>
    <w:p w14:paraId="6F1CCB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楷体_GB2312" w:hAnsi="楷体_GB2312" w:eastAsia="楷体_GB2312" w:cs="楷体_GB2312"/>
          <w:b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浉河区财政局局长  张 兵</w:t>
      </w:r>
    </w:p>
    <w:p w14:paraId="0D6426C9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362109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主任、各位副主任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各位委员：</w:t>
      </w:r>
    </w:p>
    <w:p w14:paraId="242ECE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根据《中华人民共和国预算法》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相关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规定，在预算执行中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确需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进行预算调整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的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，应当编制预算调整方案，提请本级</w:t>
      </w:r>
      <w:r>
        <w:rPr>
          <w:rFonts w:hint="eastAsia" w:ascii="仿宋_GB2312" w:hAnsi="仿宋_GB2312" w:eastAsia="仿宋_GB2312" w:cs="仿宋_GB2312"/>
          <w:color w:val="0D0D0D" w:themeColor="text1" w:themeTint="F2"/>
          <w:spacing w:val="-6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人大常委会审查和批准。</w:t>
      </w:r>
      <w:r>
        <w:rPr>
          <w:rFonts w:hint="eastAsia" w:ascii="仿宋_GB2312" w:hAnsi="仿宋_GB2312" w:eastAsia="仿宋_GB2312" w:cs="仿宋_GB2312"/>
          <w:color w:val="0D0D0D" w:themeColor="text1" w:themeTint="F2"/>
          <w:spacing w:val="-6"/>
          <w:sz w:val="3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受区人民政府委托，</w:t>
      </w:r>
      <w:r>
        <w:rPr>
          <w:rFonts w:hint="eastAsia" w:ascii="仿宋_GB2312" w:hAnsi="仿宋_GB2312" w:eastAsia="仿宋_GB2312" w:cs="仿宋_GB2312"/>
          <w:color w:val="0D0D0D" w:themeColor="text1" w:themeTint="F2"/>
          <w:spacing w:val="-6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现将202</w:t>
      </w:r>
      <w:r>
        <w:rPr>
          <w:rFonts w:hint="eastAsia" w:ascii="仿宋_GB2312" w:hAnsi="仿宋_GB2312" w:eastAsia="仿宋_GB2312" w:cs="仿宋_GB2312"/>
          <w:color w:val="0D0D0D" w:themeColor="text1" w:themeTint="F2"/>
          <w:spacing w:val="-6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D0D0D" w:themeColor="text1" w:themeTint="F2"/>
          <w:spacing w:val="-6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年预算调整方案</w:t>
      </w:r>
      <w:r>
        <w:rPr>
          <w:rFonts w:hint="eastAsia" w:ascii="仿宋_GB2312" w:hAnsi="仿宋_GB2312" w:eastAsia="仿宋_GB2312" w:cs="仿宋_GB2312"/>
          <w:color w:val="0D0D0D" w:themeColor="text1" w:themeTint="F2"/>
          <w:spacing w:val="-6"/>
          <w:sz w:val="3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（草案）</w:t>
      </w:r>
      <w:r>
        <w:rPr>
          <w:rFonts w:hint="eastAsia" w:ascii="仿宋_GB2312" w:hAnsi="仿宋_GB2312" w:eastAsia="仿宋_GB2312" w:cs="仿宋_GB2312"/>
          <w:color w:val="0D0D0D" w:themeColor="text1" w:themeTint="F2"/>
          <w:spacing w:val="-6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报告如下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：</w:t>
      </w:r>
    </w:p>
    <w:p w14:paraId="3309D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color w:val="0D0D0D" w:themeColor="text1" w:themeTint="F2"/>
          <w:sz w:val="32"/>
          <w:szCs w:val="32"/>
          <w:highlight w:val="none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黑体" w:hAnsi="黑体" w:eastAsia="黑体" w:cs="黑体"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一、预算调整的</w:t>
      </w:r>
      <w:r>
        <w:rPr>
          <w:rFonts w:hint="eastAsia" w:ascii="黑体" w:hAnsi="黑体" w:eastAsia="黑体" w:cs="黑体"/>
          <w:color w:val="0D0D0D" w:themeColor="text1" w:themeTint="F2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原因</w:t>
      </w:r>
    </w:p>
    <w:p w14:paraId="3E0974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（一）因</w:t>
      </w:r>
      <w:r>
        <w:rPr>
          <w:rFonts w:hint="eastAsia" w:ascii="仿宋_GB2312" w:hAnsi="仿宋_GB2312" w:eastAsia="仿宋_GB2312" w:cs="仿宋_GB2312"/>
          <w:sz w:val="32"/>
          <w:szCs w:val="32"/>
        </w:rPr>
        <w:t>新增政府债券，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需相应调整</w:t>
      </w:r>
      <w:r>
        <w:rPr>
          <w:rFonts w:hint="eastAsia" w:ascii="仿宋_GB2312" w:hAnsi="仿宋_GB2312" w:eastAsia="仿宋_GB2312" w:cs="仿宋_GB2312"/>
          <w:sz w:val="32"/>
          <w:szCs w:val="32"/>
        </w:rPr>
        <w:t>本级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财政</w:t>
      </w:r>
      <w:r>
        <w:rPr>
          <w:rFonts w:hint="eastAsia" w:ascii="仿宋_GB2312" w:hAnsi="仿宋_GB2312" w:eastAsia="仿宋_GB2312" w:cs="仿宋_GB2312"/>
          <w:sz w:val="32"/>
          <w:szCs w:val="32"/>
        </w:rPr>
        <w:t>收支；</w:t>
      </w:r>
    </w:p>
    <w:p w14:paraId="6CA93B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二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因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上级补助收入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发生较大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变化，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需相应调整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本级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财政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收支。</w:t>
      </w:r>
    </w:p>
    <w:p w14:paraId="428CE8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黑体" w:hAnsi="黑体" w:eastAsia="黑体" w:cs="黑体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二、预算调整</w:t>
      </w:r>
      <w:r>
        <w:rPr>
          <w:rFonts w:hint="eastAsia" w:ascii="黑体" w:hAnsi="黑体" w:eastAsia="黑体" w:cs="黑体"/>
          <w:color w:val="0D0D0D" w:themeColor="text1" w:themeTint="F2"/>
          <w:sz w:val="3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的</w:t>
      </w:r>
      <w:r>
        <w:rPr>
          <w:rFonts w:hint="eastAsia" w:ascii="黑体" w:hAnsi="黑体" w:eastAsia="黑体" w:cs="黑体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具体</w:t>
      </w:r>
      <w:r>
        <w:rPr>
          <w:rFonts w:hint="eastAsia" w:ascii="黑体" w:hAnsi="黑体" w:eastAsia="黑体" w:cs="黑体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情况</w:t>
      </w:r>
    </w:p>
    <w:p w14:paraId="4A951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（一）一般公共预算</w:t>
      </w:r>
    </w:p>
    <w:p w14:paraId="0C2F70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b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b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收入</w:t>
      </w:r>
      <w:r>
        <w:rPr>
          <w:rFonts w:hint="eastAsia" w:ascii="仿宋_GB2312" w:hAnsi="仿宋_GB2312" w:eastAsia="仿宋_GB2312" w:cs="仿宋_GB2312"/>
          <w:b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调整</w:t>
      </w:r>
    </w:p>
    <w:p w14:paraId="4E758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2025年，全区一般公共预算总收入由52.68亿元拟调整为43.78亿元，调减8.9亿元。具体项目调整情况为：</w:t>
      </w:r>
    </w:p>
    <w:p w14:paraId="20FF75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一般公共财政预算收入：由13.19亿元拟调整为11.67亿元，调减1.52亿元。主要原因为：一是受经济下行压力影响，房地产和建筑业税收收入大幅下降。截止11月底，一般公共预算收入总量全市排名第二，比第三名多收入1.36亿元，但收入总量与去年同期相比下降7%；二是非税收入完成1.9亿元，达到年初目标任务的128%，其中包含灵山坡矿产拍卖一次性入库收入0.68亿元。</w:t>
      </w:r>
    </w:p>
    <w:p w14:paraId="620D35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上级补助收入：由23.14亿元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拟</w:t>
      </w: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调整为22.49亿元，调减0.65亿元。主要是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收入科目调整（</w:t>
      </w: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原列入本级的土地出让收入转列政府性基金预算管理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）</w:t>
      </w: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。</w:t>
      </w:r>
    </w:p>
    <w:p w14:paraId="3C6C09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地方政府一般债务转贷收入：由2.16亿元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拟</w:t>
      </w: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调整为0.92亿元，调减1.24亿元。主要受国家债券发行政策收紧影响，当年未获得新增一般债券额度，仅安排再融资债券0.92亿元。</w:t>
      </w:r>
    </w:p>
    <w:p w14:paraId="71E866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调入资金：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为弥补财力缺口，从政府性基金调出部分资金，用于保障当年“三保”及刚性支出，</w:t>
      </w: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由14.18亿元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拟</w:t>
      </w: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调整为8.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69</w:t>
      </w: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亿元，调减5.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49</w:t>
      </w:r>
      <w:bookmarkStart w:id="0" w:name="_GoBack"/>
      <w:bookmarkEnd w:id="0"/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亿元。</w:t>
      </w:r>
    </w:p>
    <w:p w14:paraId="178DA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color w:val="0D0D0D" w:themeColor="text1" w:themeTint="F2"/>
          <w:sz w:val="3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b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b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支出</w:t>
      </w:r>
      <w:r>
        <w:rPr>
          <w:rFonts w:hint="eastAsia" w:ascii="仿宋_GB2312" w:hAnsi="仿宋_GB2312" w:eastAsia="仿宋_GB2312" w:cs="仿宋_GB2312"/>
          <w:b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调整</w:t>
      </w:r>
    </w:p>
    <w:p w14:paraId="6B9C1C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2025年，全区一般公共预算总支出由52.68亿元拟调整为43.78亿元，调减8.9亿元。其中：</w:t>
      </w:r>
    </w:p>
    <w:p w14:paraId="62DC2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color w:val="0D0D0D" w:themeColor="text1" w:themeTint="F2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一般公共预算支出：由42.44亿元拟调整为33.54亿元，调减8.9亿元。主要原因一是年初按照预测计划，一般公共预算收支按上年完成数4%进行增幅。但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在</w:t>
      </w: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实际执行中，受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经济下行等影响，区本级收入和现金调度未达预期</w:t>
      </w: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。</w:t>
      </w:r>
    </w:p>
    <w:p w14:paraId="1FD865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3.调整后平衡情况</w:t>
      </w:r>
    </w:p>
    <w:p w14:paraId="6EB57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调整后，一般公共预算收支保持平衡。</w:t>
      </w:r>
    </w:p>
    <w:p w14:paraId="16D8CB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（二）政府</w:t>
      </w:r>
      <w:r>
        <w:rPr>
          <w:rFonts w:hint="eastAsia" w:ascii="楷体_GB2312" w:hAnsi="楷体_GB2312" w:eastAsia="楷体_GB2312" w:cs="楷体_GB2312"/>
          <w:b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性</w:t>
      </w:r>
      <w:r>
        <w:rPr>
          <w:rFonts w:hint="eastAsia" w:ascii="楷体_GB2312" w:hAnsi="楷体_GB2312" w:eastAsia="楷体_GB2312" w:cs="楷体_GB2312"/>
          <w:b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基金预算</w:t>
      </w:r>
    </w:p>
    <w:p w14:paraId="78DAC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b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b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收入</w:t>
      </w:r>
      <w:r>
        <w:rPr>
          <w:rFonts w:hint="eastAsia" w:ascii="仿宋_GB2312" w:hAnsi="仿宋_GB2312" w:eastAsia="仿宋_GB2312" w:cs="仿宋_GB2312"/>
          <w:b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调整</w:t>
      </w:r>
    </w:p>
    <w:p w14:paraId="2F78A3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2025年，全区政府性基金预算总收入由19.95亿元拟调整为23.92亿元，调增3.97亿元。具体项目调整情况为：</w:t>
      </w:r>
    </w:p>
    <w:p w14:paraId="65AC21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政府性基金收入</w:t>
      </w: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：由0.37亿元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拟</w:t>
      </w: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调整为0.38亿元，调增0.01亿元。主要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是</w:t>
      </w: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收到用于化解中小银行风险的专项债券付息资金。</w:t>
      </w:r>
    </w:p>
    <w:p w14:paraId="78374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地方政府专项债务转贷收入：由12.16亿元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拟</w:t>
      </w: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调整为14.24亿元，调增2.08亿元。其中：当年新增专项债券11.98亿元（含项目建设6.5亿元、清理拖欠账款2.34亿元、置换债券2.02亿元、补充财力1.12亿元），再融资债券2.26亿元。</w:t>
      </w:r>
    </w:p>
    <w:p w14:paraId="630A9A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上级补助收入：由4.78亿元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拟</w:t>
      </w: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调整为5.29亿元，调增0.51亿元。主要是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为</w:t>
      </w: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增强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浉河区</w:t>
      </w: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财力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，</w:t>
      </w: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市级将当年土地出让收入以上级补助形式返还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，</w:t>
      </w: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其中三里店城市有机更新片区2.84亿元、平西片区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（正弘茗信）</w:t>
      </w: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0.93亿元。</w:t>
      </w:r>
    </w:p>
    <w:p w14:paraId="551A0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上年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结转</w:t>
      </w: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收入：由2.63亿元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拟</w:t>
      </w: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调整为4亿元，调增1.3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7</w:t>
      </w: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亿元。</w:t>
      </w:r>
    </w:p>
    <w:p w14:paraId="07A435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b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b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支出</w:t>
      </w:r>
      <w:r>
        <w:rPr>
          <w:rFonts w:hint="eastAsia" w:ascii="仿宋_GB2312" w:hAnsi="仿宋_GB2312" w:eastAsia="仿宋_GB2312" w:cs="仿宋_GB2312"/>
          <w:b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调整</w:t>
      </w:r>
    </w:p>
    <w:p w14:paraId="182B09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2025年，全区政府性基金预算总支出由19.95亿元拟调整为23.92亿元，调增3.97亿元。其中：</w:t>
      </w:r>
    </w:p>
    <w:p w14:paraId="6AFB8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政府性基金支出</w:t>
      </w: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：由8.34亿元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拟</w:t>
      </w: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调整为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9.07</w:t>
      </w: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亿元，调增0.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72</w:t>
      </w: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亿元。</w:t>
      </w:r>
    </w:p>
    <w:p w14:paraId="7E05CF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调出资金：由6.71亿元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拟</w:t>
      </w: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调整为8.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</w:t>
      </w: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亿元，调增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1.58</w:t>
      </w: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亿元。主要用于保障“三保”及刚性支出。</w:t>
      </w:r>
    </w:p>
    <w:p w14:paraId="633AC9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上解上级支出：由0.00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8</w:t>
      </w: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亿元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拟</w:t>
      </w: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调整为0.018亿元，调增0.01亿元。主要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是</w:t>
      </w: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支付当年新增专项债券发行手续费。</w:t>
      </w:r>
    </w:p>
    <w:p w14:paraId="3B191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年终结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转</w:t>
      </w: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：由2.34亿元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拟</w:t>
      </w: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调整为4亿元，调增1.6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6</w:t>
      </w: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亿元。</w:t>
      </w:r>
    </w:p>
    <w:p w14:paraId="5DD27A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3.调整后平衡情况</w:t>
      </w:r>
    </w:p>
    <w:p w14:paraId="2F9933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仿宋_GB2312" w:hAnsi="仿宋_GB2312" w:eastAsia="仿宋_GB2312" w:cs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调整后，政府性基金预算收支平衡。</w:t>
      </w:r>
    </w:p>
    <w:p w14:paraId="73D56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（三）国有资本经营预算</w:t>
      </w:r>
    </w:p>
    <w:p w14:paraId="6406E4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本次不予调整，收支预算保持不变。</w:t>
      </w:r>
    </w:p>
    <w:p w14:paraId="68935F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（四）社会保险基金预算</w:t>
      </w:r>
    </w:p>
    <w:p w14:paraId="1CDDAC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本次不予调整，收支预算保持不变。</w:t>
      </w:r>
    </w:p>
    <w:p w14:paraId="2F492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01E90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以上报告，请予审议。</w:t>
      </w:r>
    </w:p>
    <w:p w14:paraId="3D782B8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5E7D8A"/>
    <w:rsid w:val="04B4148E"/>
    <w:rsid w:val="04EC5D7E"/>
    <w:rsid w:val="12485112"/>
    <w:rsid w:val="16414353"/>
    <w:rsid w:val="1C131164"/>
    <w:rsid w:val="27D36DD5"/>
    <w:rsid w:val="29995DFC"/>
    <w:rsid w:val="29CA1A97"/>
    <w:rsid w:val="2B9D0255"/>
    <w:rsid w:val="2C8D59A4"/>
    <w:rsid w:val="32106B9E"/>
    <w:rsid w:val="348953EB"/>
    <w:rsid w:val="36496FA8"/>
    <w:rsid w:val="368B5243"/>
    <w:rsid w:val="39610843"/>
    <w:rsid w:val="3A0636FD"/>
    <w:rsid w:val="3A170F75"/>
    <w:rsid w:val="3D873749"/>
    <w:rsid w:val="3DE17472"/>
    <w:rsid w:val="422C5607"/>
    <w:rsid w:val="444D2334"/>
    <w:rsid w:val="44B71862"/>
    <w:rsid w:val="45A965FB"/>
    <w:rsid w:val="4CED1857"/>
    <w:rsid w:val="4DD92AE7"/>
    <w:rsid w:val="4F636B0B"/>
    <w:rsid w:val="511A2107"/>
    <w:rsid w:val="56F52014"/>
    <w:rsid w:val="5E5E7D8A"/>
    <w:rsid w:val="5ED810C9"/>
    <w:rsid w:val="5F920D48"/>
    <w:rsid w:val="702A2F21"/>
    <w:rsid w:val="796B01E8"/>
    <w:rsid w:val="7A4B0019"/>
    <w:rsid w:val="7BC44E97"/>
    <w:rsid w:val="7F0F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</w:pPr>
    <w:rPr>
      <w:rFonts w:ascii="宋体" w:hAnsi="Calibri" w:eastAsia="宋体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1383</Words>
  <Characters>1613</Characters>
  <Lines>0</Lines>
  <Paragraphs>0</Paragraphs>
  <TotalTime>29</TotalTime>
  <ScaleCrop>false</ScaleCrop>
  <LinksUpToDate>false</LinksUpToDate>
  <CharactersWithSpaces>1626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2025-12-09T07:34:00Z</dcterms:created>
  <dc:creator>H、</dc:creator>
  <cp:lastModifiedBy>H、</cp:lastModifiedBy>
  <dcterms:modified xsi:type="dcterms:W3CDTF">2025-12-12T08:10:26Z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CC5FF1E814E74AE99290919BEB9472CD_13</vt:lpwstr>
  </property>
  <property fmtid="{D5CDD505-2E9C-101B-9397-08002B2CF9AE}" pid="4" name="KSOTemplateDocerSaveRecord">
    <vt:lpwstr>eyJoZGlkIjoiNDZmZDAyZTg3NGFiZjdhMzMyYTg3Zjg4MzQ2MDIyODEiLCJ1c2VySWQiOiI1MDUyNzAwMzAifQ==</vt:lpwstr>
  </property>
</Properties>
</file>