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D9680">
      <w:pPr>
        <w:keepNext w:val="0"/>
        <w:keepLines w:val="0"/>
        <w:pageBreakBefore w:val="0"/>
        <w:widowControl/>
        <w:kinsoku w:val="0"/>
        <w:wordWrap/>
        <w:overflowPunct/>
        <w:topLinePunct w:val="0"/>
        <w:autoSpaceDE w:val="0"/>
        <w:autoSpaceDN w:val="0"/>
        <w:bidi w:val="0"/>
        <w:adjustRightInd w:val="0"/>
        <w:snapToGrid w:val="0"/>
        <w:spacing w:line="580" w:lineRule="exact"/>
        <w:ind w:left="0" w:right="0"/>
        <w:jc w:val="center"/>
        <w:textAlignment w:val="baseline"/>
        <w:rPr>
          <w:rFonts w:hint="eastAsia" w:ascii="方正小标宋简体" w:hAnsi="方正小标宋简体" w:eastAsia="方正小标宋简体" w:cs="方正小标宋简体"/>
          <w:b w:val="0"/>
          <w:bCs w:val="0"/>
          <w:snapToGrid w:val="0"/>
          <w:color w:val="000000"/>
          <w:spacing w:val="4"/>
          <w:kern w:val="0"/>
          <w:sz w:val="44"/>
          <w:szCs w:val="44"/>
          <w:lang w:val="en-US" w:eastAsia="zh-CN"/>
          <w14:textOutline w14:w="7972" w14:cap="sq" w14:cmpd="sng">
            <w14:solidFill>
              <w14:srgbClr w14:val="000000"/>
            </w14:solidFill>
            <w14:prstDash w14:val="solid"/>
            <w14:bevel/>
          </w14:textOutline>
        </w:rPr>
      </w:pPr>
      <w:r>
        <w:rPr>
          <w:rFonts w:hint="eastAsia" w:ascii="方正小标宋简体" w:hAnsi="方正小标宋简体" w:eastAsia="方正小标宋简体" w:cs="方正小标宋简体"/>
          <w:b w:val="0"/>
          <w:bCs w:val="0"/>
          <w:snapToGrid w:val="0"/>
          <w:color w:val="000000"/>
          <w:spacing w:val="4"/>
          <w:kern w:val="0"/>
          <w:sz w:val="44"/>
          <w:szCs w:val="44"/>
          <w:lang w:val="en-US" w:eastAsia="zh-CN"/>
          <w14:textOutline w14:w="7972" w14:cap="sq" w14:cmpd="sng">
            <w14:solidFill>
              <w14:srgbClr w14:val="000000"/>
            </w14:solidFill>
            <w14:prstDash w14:val="solid"/>
            <w14:bevel/>
          </w14:textOutline>
        </w:rPr>
        <w:t>财政报告</w:t>
      </w:r>
      <w:bookmarkStart w:id="0" w:name="_GoBack"/>
      <w:bookmarkEnd w:id="0"/>
      <w:r>
        <w:rPr>
          <w:rFonts w:hint="eastAsia" w:ascii="方正小标宋简体" w:hAnsi="方正小标宋简体" w:eastAsia="方正小标宋简体" w:cs="方正小标宋简体"/>
          <w:b w:val="0"/>
          <w:bCs w:val="0"/>
          <w:snapToGrid w:val="0"/>
          <w:color w:val="000000"/>
          <w:spacing w:val="4"/>
          <w:kern w:val="0"/>
          <w:sz w:val="44"/>
          <w:szCs w:val="44"/>
          <w:lang w:val="en-US" w:eastAsia="zh-CN"/>
          <w14:textOutline w14:w="7972" w14:cap="sq" w14:cmpd="sng">
            <w14:solidFill>
              <w14:srgbClr w14:val="000000"/>
            </w14:solidFill>
            <w14:prstDash w14:val="solid"/>
            <w14:bevel/>
          </w14:textOutline>
        </w:rPr>
        <w:t>名词解释</w:t>
      </w:r>
    </w:p>
    <w:p w14:paraId="0F0EDFBF">
      <w:pPr>
        <w:keepNext w:val="0"/>
        <w:keepLines w:val="0"/>
        <w:pageBreakBefore w:val="0"/>
        <w:wordWrap/>
        <w:overflowPunct/>
        <w:topLinePunct w:val="0"/>
        <w:bidi w:val="0"/>
        <w:spacing w:line="580" w:lineRule="exact"/>
        <w:jc w:val="center"/>
        <w:rPr>
          <w:rFonts w:hint="eastAsia"/>
          <w:b/>
          <w:bCs/>
          <w:sz w:val="18"/>
          <w:szCs w:val="18"/>
          <w:lang w:val="en-US" w:eastAsia="zh-CN"/>
        </w:rPr>
      </w:pPr>
    </w:p>
    <w:p w14:paraId="1D9CBC2A">
      <w:pPr>
        <w:pStyle w:val="6"/>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auto"/>
          <w:spacing w:val="0"/>
          <w:kern w:val="2"/>
          <w:sz w:val="32"/>
          <w:szCs w:val="32"/>
          <w:shd w:val="clear" w:fill="FFFFFF"/>
          <w:lang w:val="en-US" w:eastAsia="zh-CN"/>
        </w:rPr>
      </w:pPr>
      <w:r>
        <w:rPr>
          <w:rFonts w:hint="eastAsia" w:ascii="Times New Roman" w:hAnsi="Times New Roman" w:eastAsia="仿宋_GB2312" w:cs="Times New Roman"/>
          <w:b/>
          <w:bCs/>
          <w:i w:val="0"/>
          <w:iCs w:val="0"/>
          <w:caps w:val="0"/>
          <w:color w:val="auto"/>
          <w:spacing w:val="0"/>
          <w:kern w:val="2"/>
          <w:sz w:val="32"/>
          <w:szCs w:val="32"/>
          <w:shd w:val="clear" w:fill="FFFFFF"/>
        </w:rPr>
        <w:t>一般公共预算：</w:t>
      </w:r>
      <w:r>
        <w:rPr>
          <w:rFonts w:hint="eastAsia" w:ascii="Times New Roman" w:hAnsi="Times New Roman" w:eastAsia="仿宋_GB2312" w:cs="Times New Roman"/>
          <w:i w:val="0"/>
          <w:iCs w:val="0"/>
          <w:caps w:val="0"/>
          <w:color w:val="auto"/>
          <w:spacing w:val="0"/>
          <w:kern w:val="2"/>
          <w:sz w:val="32"/>
          <w:szCs w:val="32"/>
          <w:shd w:val="clear" w:fill="FFFFFF"/>
        </w:rPr>
        <w:t>指政府凭借国家政治权力，以社会管理者身份筹集以税收为主体的财政收入，用于保障和改善民生、维持国家行政职能正常行使、保障国家安全等方面的收支预算。</w:t>
      </w:r>
    </w:p>
    <w:p w14:paraId="1F37FCD0">
      <w:pPr>
        <w:pStyle w:val="6"/>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auto"/>
          <w:spacing w:val="0"/>
          <w:kern w:val="2"/>
          <w:sz w:val="32"/>
          <w:szCs w:val="32"/>
          <w:shd w:val="clear" w:fill="FFFFFF"/>
          <w:lang w:val="en-US" w:eastAsia="zh-CN"/>
        </w:rPr>
      </w:pPr>
      <w:r>
        <w:rPr>
          <w:rFonts w:hint="eastAsia" w:ascii="Times New Roman" w:hAnsi="Times New Roman" w:eastAsia="仿宋_GB2312" w:cs="Times New Roman"/>
          <w:b/>
          <w:bCs/>
          <w:i w:val="0"/>
          <w:iCs w:val="0"/>
          <w:caps w:val="0"/>
          <w:color w:val="auto"/>
          <w:spacing w:val="0"/>
          <w:kern w:val="2"/>
          <w:sz w:val="32"/>
          <w:szCs w:val="32"/>
          <w:shd w:val="clear" w:fill="FFFFFF"/>
          <w:lang w:val="en-US" w:eastAsia="zh-CN"/>
        </w:rPr>
        <w:t>政府性基金预算：</w:t>
      </w:r>
      <w:r>
        <w:rPr>
          <w:rFonts w:hint="eastAsia" w:ascii="Times New Roman" w:hAnsi="Times New Roman" w:eastAsia="仿宋_GB2312" w:cs="Times New Roman"/>
          <w:i w:val="0"/>
          <w:iCs w:val="0"/>
          <w:caps w:val="0"/>
          <w:color w:val="auto"/>
          <w:spacing w:val="0"/>
          <w:kern w:val="2"/>
          <w:sz w:val="32"/>
          <w:szCs w:val="32"/>
          <w:shd w:val="clear" w:fill="FFFFFF"/>
          <w:lang w:val="en-US" w:eastAsia="zh-CN"/>
        </w:rPr>
        <w:t>指政府通过向社会征收基金、收费，以及出让土地、发行彩票等方式取得收入，专项用于支持特定基础设施建设和社会事业发展等方面的收支预算。浉河区无土地出让收入权限，由市级征收清算后返还；相关建设支出规模较大，主要依赖债券资金安排。</w:t>
      </w:r>
    </w:p>
    <w:p w14:paraId="2A304E3B">
      <w:pPr>
        <w:pStyle w:val="6"/>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auto"/>
          <w:spacing w:val="0"/>
          <w:kern w:val="2"/>
          <w:sz w:val="32"/>
          <w:szCs w:val="32"/>
          <w:shd w:val="clear" w:fill="FFFFFF"/>
          <w:lang w:val="en-US" w:eastAsia="zh-CN"/>
        </w:rPr>
      </w:pPr>
      <w:r>
        <w:rPr>
          <w:rFonts w:hint="eastAsia" w:ascii="Times New Roman" w:hAnsi="Times New Roman" w:eastAsia="仿宋_GB2312" w:cs="Times New Roman"/>
          <w:b/>
          <w:bCs/>
          <w:i w:val="0"/>
          <w:iCs w:val="0"/>
          <w:caps w:val="0"/>
          <w:color w:val="auto"/>
          <w:spacing w:val="0"/>
          <w:kern w:val="2"/>
          <w:sz w:val="32"/>
          <w:szCs w:val="32"/>
          <w:shd w:val="clear" w:fill="FFFFFF"/>
          <w:lang w:val="en-US" w:eastAsia="zh-CN"/>
        </w:rPr>
        <w:t>国有资本经营预算：</w:t>
      </w:r>
      <w:r>
        <w:rPr>
          <w:rFonts w:hint="eastAsia" w:ascii="Times New Roman" w:hAnsi="Times New Roman" w:eastAsia="仿宋_GB2312" w:cs="Times New Roman"/>
          <w:i w:val="0"/>
          <w:iCs w:val="0"/>
          <w:caps w:val="0"/>
          <w:color w:val="auto"/>
          <w:spacing w:val="0"/>
          <w:kern w:val="2"/>
          <w:sz w:val="32"/>
          <w:szCs w:val="32"/>
          <w:shd w:val="clear" w:fill="FFFFFF"/>
          <w:lang w:val="en-US" w:eastAsia="zh-CN"/>
        </w:rPr>
        <w:t>指国家以所有者身份依法取得国有资本收益，并对所得收益进行分配而发生的收支预算。</w:t>
      </w:r>
    </w:p>
    <w:p w14:paraId="55548A6C">
      <w:pPr>
        <w:pStyle w:val="6"/>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auto"/>
          <w:spacing w:val="0"/>
          <w:kern w:val="2"/>
          <w:sz w:val="32"/>
          <w:szCs w:val="32"/>
          <w:shd w:val="clear" w:fill="FFFFFF"/>
        </w:rPr>
      </w:pPr>
      <w:r>
        <w:rPr>
          <w:rFonts w:hint="eastAsia" w:ascii="Times New Roman" w:hAnsi="Times New Roman" w:eastAsia="仿宋_GB2312" w:cs="Times New Roman"/>
          <w:b/>
          <w:bCs/>
          <w:i w:val="0"/>
          <w:iCs w:val="0"/>
          <w:caps w:val="0"/>
          <w:color w:val="auto"/>
          <w:spacing w:val="0"/>
          <w:kern w:val="2"/>
          <w:sz w:val="32"/>
          <w:szCs w:val="32"/>
          <w:shd w:val="clear" w:fill="FFFFFF"/>
        </w:rPr>
        <w:t>社会保险基金预算：</w:t>
      </w:r>
      <w:r>
        <w:rPr>
          <w:rFonts w:hint="eastAsia" w:ascii="Times New Roman" w:hAnsi="Times New Roman" w:eastAsia="仿宋_GB2312" w:cs="Times New Roman"/>
          <w:i w:val="0"/>
          <w:iCs w:val="0"/>
          <w:caps w:val="0"/>
          <w:color w:val="auto"/>
          <w:spacing w:val="0"/>
          <w:kern w:val="2"/>
          <w:sz w:val="32"/>
          <w:szCs w:val="32"/>
          <w:shd w:val="clear" w:fill="FFFFFF"/>
        </w:rPr>
        <w:t>指根据国家社会保险和预算管理法律法规建立</w:t>
      </w:r>
      <w:r>
        <w:rPr>
          <w:rFonts w:hint="eastAsia" w:ascii="Times New Roman" w:hAnsi="Times New Roman" w:eastAsia="仿宋_GB2312" w:cs="Times New Roman"/>
          <w:i w:val="0"/>
          <w:iCs w:val="0"/>
          <w:caps w:val="0"/>
          <w:color w:val="auto"/>
          <w:spacing w:val="0"/>
          <w:kern w:val="2"/>
          <w:sz w:val="32"/>
          <w:szCs w:val="32"/>
          <w:shd w:val="clear" w:fill="FFFFFF"/>
          <w:lang w:eastAsia="zh-CN"/>
        </w:rPr>
        <w:t>的</w:t>
      </w:r>
      <w:r>
        <w:rPr>
          <w:rFonts w:hint="eastAsia" w:ascii="Times New Roman" w:hAnsi="Times New Roman" w:eastAsia="仿宋_GB2312" w:cs="Times New Roman"/>
          <w:i w:val="0"/>
          <w:iCs w:val="0"/>
          <w:caps w:val="0"/>
          <w:color w:val="auto"/>
          <w:spacing w:val="0"/>
          <w:kern w:val="2"/>
          <w:sz w:val="32"/>
          <w:szCs w:val="32"/>
          <w:shd w:val="clear" w:fill="FFFFFF"/>
        </w:rPr>
        <w:t>，反映各项社会保险基金收支的年度计划。</w:t>
      </w:r>
    </w:p>
    <w:p w14:paraId="26EE8205">
      <w:pPr>
        <w:pStyle w:val="6"/>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default" w:ascii="Times New Roman" w:hAnsi="Times New Roman" w:eastAsia="仿宋_GB2312" w:cs="Times New Roman"/>
          <w:i w:val="0"/>
          <w:iCs w:val="0"/>
          <w:caps w:val="0"/>
          <w:color w:val="auto"/>
          <w:spacing w:val="0"/>
          <w:kern w:val="2"/>
          <w:sz w:val="32"/>
          <w:szCs w:val="32"/>
          <w:shd w:val="clear" w:fill="FFFFFF"/>
          <w:lang w:val="en-US" w:eastAsia="zh-CN"/>
        </w:rPr>
      </w:pPr>
      <w:r>
        <w:rPr>
          <w:rFonts w:hint="eastAsia" w:ascii="Times New Roman" w:hAnsi="Times New Roman" w:eastAsia="仿宋_GB2312" w:cs="Times New Roman"/>
          <w:b/>
          <w:bCs/>
          <w:i w:val="0"/>
          <w:iCs w:val="0"/>
          <w:caps w:val="0"/>
          <w:color w:val="auto"/>
          <w:spacing w:val="0"/>
          <w:kern w:val="2"/>
          <w:sz w:val="32"/>
          <w:szCs w:val="32"/>
          <w:shd w:val="clear" w:fill="FFFFFF"/>
          <w:lang w:val="en-US" w:eastAsia="zh-CN"/>
        </w:rPr>
        <w:t>“三保”资金：</w:t>
      </w:r>
      <w:r>
        <w:rPr>
          <w:rFonts w:hint="eastAsia" w:ascii="Times New Roman" w:hAnsi="Times New Roman" w:eastAsia="仿宋_GB2312" w:cs="Times New Roman"/>
          <w:i w:val="0"/>
          <w:iCs w:val="0"/>
          <w:caps w:val="0"/>
          <w:color w:val="auto"/>
          <w:spacing w:val="0"/>
          <w:kern w:val="2"/>
          <w:sz w:val="32"/>
          <w:szCs w:val="32"/>
          <w:shd w:val="clear" w:fill="FFFFFF"/>
          <w:lang w:val="en-US" w:eastAsia="zh-CN"/>
        </w:rPr>
        <w:t>即“保基本民生、保工资、保运转”。</w:t>
      </w:r>
    </w:p>
    <w:p w14:paraId="1B15F3F6">
      <w:pPr>
        <w:pStyle w:val="6"/>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auto"/>
          <w:spacing w:val="0"/>
          <w:kern w:val="2"/>
          <w:sz w:val="32"/>
          <w:szCs w:val="32"/>
          <w:shd w:val="clear" w:fill="FFFFFF"/>
        </w:rPr>
      </w:pPr>
      <w:r>
        <w:rPr>
          <w:rFonts w:hint="eastAsia" w:ascii="Times New Roman" w:hAnsi="Times New Roman" w:eastAsia="仿宋_GB2312" w:cs="Times New Roman"/>
          <w:b/>
          <w:bCs/>
          <w:i w:val="0"/>
          <w:iCs w:val="0"/>
          <w:caps w:val="0"/>
          <w:color w:val="auto"/>
          <w:spacing w:val="0"/>
          <w:kern w:val="2"/>
          <w:sz w:val="32"/>
          <w:szCs w:val="32"/>
          <w:shd w:val="clear" w:fill="FFFFFF"/>
        </w:rPr>
        <w:t>税收返还：</w:t>
      </w:r>
      <w:r>
        <w:rPr>
          <w:rFonts w:hint="default" w:ascii="Times New Roman" w:hAnsi="Times New Roman" w:eastAsia="仿宋_GB2312" w:cs="Times New Roman"/>
          <w:i w:val="0"/>
          <w:iCs w:val="0"/>
          <w:caps w:val="0"/>
          <w:color w:val="auto"/>
          <w:spacing w:val="0"/>
          <w:kern w:val="2"/>
          <w:sz w:val="32"/>
          <w:szCs w:val="32"/>
          <w:shd w:val="clear" w:fill="FFFFFF"/>
        </w:rPr>
        <w:t>指1994年分税制改革、2002年所得税收入分享改革、2009年成品油税费改革</w:t>
      </w:r>
      <w:r>
        <w:rPr>
          <w:rFonts w:hint="default" w:ascii="Times New Roman" w:hAnsi="Times New Roman" w:eastAsia="仿宋_GB2312" w:cs="Times New Roman"/>
          <w:i w:val="0"/>
          <w:iCs w:val="0"/>
          <w:caps w:val="0"/>
          <w:color w:val="auto"/>
          <w:spacing w:val="0"/>
          <w:kern w:val="2"/>
          <w:sz w:val="32"/>
          <w:szCs w:val="32"/>
          <w:shd w:val="clear" w:fill="FFFFFF"/>
          <w:lang w:val="en-US" w:eastAsia="zh-CN"/>
        </w:rPr>
        <w:t>及</w:t>
      </w:r>
      <w:r>
        <w:rPr>
          <w:rFonts w:hint="default" w:ascii="Times New Roman" w:hAnsi="Times New Roman" w:eastAsia="仿宋_GB2312" w:cs="Times New Roman"/>
          <w:i w:val="0"/>
          <w:iCs w:val="0"/>
          <w:caps w:val="0"/>
          <w:color w:val="auto"/>
          <w:spacing w:val="0"/>
          <w:kern w:val="2"/>
          <w:sz w:val="32"/>
          <w:szCs w:val="32"/>
          <w:shd w:val="clear" w:fill="FFFFFF"/>
        </w:rPr>
        <w:t>2015年增值税收入</w:t>
      </w:r>
      <w:r>
        <w:rPr>
          <w:rFonts w:hint="eastAsia" w:ascii="Times New Roman" w:hAnsi="Times New Roman" w:eastAsia="仿宋_GB2312" w:cs="Times New Roman"/>
          <w:i w:val="0"/>
          <w:iCs w:val="0"/>
          <w:caps w:val="0"/>
          <w:color w:val="auto"/>
          <w:spacing w:val="0"/>
          <w:kern w:val="2"/>
          <w:sz w:val="32"/>
          <w:szCs w:val="32"/>
          <w:shd w:val="clear" w:fill="FFFFFF"/>
        </w:rPr>
        <w:t>划分过渡方案改革后，对原属于地方的收入划为中央收入部分，给予地方的补偿。包括增值税</w:t>
      </w:r>
      <w:r>
        <w:rPr>
          <w:rFonts w:hint="eastAsia" w:ascii="Times New Roman" w:hAnsi="Times New Roman" w:eastAsia="仿宋_GB2312" w:cs="Times New Roman"/>
          <w:i w:val="0"/>
          <w:iCs w:val="0"/>
          <w:caps w:val="0"/>
          <w:color w:val="auto"/>
          <w:spacing w:val="0"/>
          <w:kern w:val="2"/>
          <w:sz w:val="32"/>
          <w:szCs w:val="32"/>
          <w:shd w:val="clear" w:fill="FFFFFF"/>
          <w:lang w:val="en-US" w:eastAsia="zh-CN"/>
        </w:rPr>
        <w:t>返还</w:t>
      </w:r>
      <w:r>
        <w:rPr>
          <w:rFonts w:hint="eastAsia" w:ascii="Times New Roman" w:hAnsi="Times New Roman" w:eastAsia="仿宋_GB2312" w:cs="Times New Roman"/>
          <w:i w:val="0"/>
          <w:iCs w:val="0"/>
          <w:caps w:val="0"/>
          <w:color w:val="auto"/>
          <w:spacing w:val="0"/>
          <w:kern w:val="2"/>
          <w:sz w:val="32"/>
          <w:szCs w:val="32"/>
          <w:shd w:val="clear" w:fill="FFFFFF"/>
        </w:rPr>
        <w:t>、消费税返还，所得税基数返还，增值税收入划分过渡方案返还、以及成品油税费改革税收返还。</w:t>
      </w:r>
    </w:p>
    <w:p w14:paraId="5FF677AE">
      <w:pPr>
        <w:pStyle w:val="6"/>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auto"/>
          <w:spacing w:val="0"/>
          <w:kern w:val="2"/>
          <w:sz w:val="32"/>
          <w:szCs w:val="32"/>
          <w:shd w:val="clear" w:fill="FFFFFF"/>
        </w:rPr>
      </w:pPr>
      <w:r>
        <w:rPr>
          <w:rFonts w:hint="eastAsia" w:ascii="Times New Roman" w:hAnsi="Times New Roman" w:eastAsia="仿宋_GB2312" w:cs="Times New Roman"/>
          <w:b/>
          <w:bCs/>
          <w:i w:val="0"/>
          <w:iCs w:val="0"/>
          <w:caps w:val="0"/>
          <w:color w:val="auto"/>
          <w:spacing w:val="0"/>
          <w:kern w:val="2"/>
          <w:sz w:val="32"/>
          <w:szCs w:val="32"/>
          <w:shd w:val="clear" w:fill="FFFFFF"/>
        </w:rPr>
        <w:t>调入资金：</w:t>
      </w:r>
      <w:r>
        <w:rPr>
          <w:rFonts w:hint="eastAsia" w:ascii="Times New Roman" w:hAnsi="Times New Roman" w:eastAsia="仿宋_GB2312" w:cs="Times New Roman"/>
          <w:i w:val="0"/>
          <w:iCs w:val="0"/>
          <w:caps w:val="0"/>
          <w:color w:val="auto"/>
          <w:spacing w:val="0"/>
          <w:kern w:val="2"/>
          <w:sz w:val="32"/>
          <w:szCs w:val="32"/>
          <w:shd w:val="clear" w:fill="FFFFFF"/>
        </w:rPr>
        <w:t>指财政部门因平衡预算收支从结余资金以及其他渠道调入的资金。</w:t>
      </w:r>
    </w:p>
    <w:p w14:paraId="5187559D">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auto"/>
          <w:spacing w:val="0"/>
          <w:kern w:val="2"/>
          <w:sz w:val="32"/>
          <w:szCs w:val="32"/>
          <w:shd w:val="clear" w:fill="FFFFFF"/>
        </w:rPr>
      </w:pPr>
      <w:r>
        <w:rPr>
          <w:rFonts w:hint="eastAsia" w:ascii="Times New Roman" w:hAnsi="Times New Roman" w:eastAsia="仿宋_GB2312" w:cs="Times New Roman"/>
          <w:b/>
          <w:bCs/>
          <w:i w:val="0"/>
          <w:iCs w:val="0"/>
          <w:caps w:val="0"/>
          <w:color w:val="auto"/>
          <w:spacing w:val="0"/>
          <w:kern w:val="2"/>
          <w:sz w:val="32"/>
          <w:szCs w:val="32"/>
          <w:shd w:val="clear" w:fill="FFFFFF"/>
        </w:rPr>
        <w:t>上解上级支出：</w:t>
      </w:r>
      <w:r>
        <w:rPr>
          <w:rFonts w:hint="eastAsia" w:ascii="Times New Roman" w:hAnsi="Times New Roman" w:eastAsia="仿宋_GB2312" w:cs="Times New Roman"/>
          <w:i w:val="0"/>
          <w:iCs w:val="0"/>
          <w:caps w:val="0"/>
          <w:color w:val="auto"/>
          <w:spacing w:val="0"/>
          <w:kern w:val="2"/>
          <w:sz w:val="32"/>
          <w:szCs w:val="32"/>
          <w:shd w:val="clear" w:fill="FFFFFF"/>
        </w:rPr>
        <w:t>指下级财政部门将本年度的财政收入上解至上一级的财政部门。</w:t>
      </w:r>
    </w:p>
    <w:p w14:paraId="34DA4256">
      <w:pPr>
        <w:pStyle w:val="6"/>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auto"/>
          <w:spacing w:val="0"/>
          <w:kern w:val="2"/>
          <w:sz w:val="32"/>
          <w:szCs w:val="32"/>
          <w:shd w:val="clear" w:fill="FFFFFF"/>
        </w:rPr>
      </w:pPr>
      <w:r>
        <w:rPr>
          <w:rFonts w:hint="eastAsia" w:ascii="Times New Roman" w:hAnsi="Times New Roman" w:eastAsia="仿宋_GB2312" w:cs="Times New Roman"/>
          <w:b/>
          <w:bCs/>
          <w:i w:val="0"/>
          <w:iCs w:val="0"/>
          <w:caps w:val="0"/>
          <w:color w:val="auto"/>
          <w:spacing w:val="0"/>
          <w:kern w:val="2"/>
          <w:sz w:val="32"/>
          <w:szCs w:val="32"/>
          <w:shd w:val="clear" w:fill="FFFFFF"/>
        </w:rPr>
        <w:t>结转资金：</w:t>
      </w:r>
      <w:r>
        <w:rPr>
          <w:rFonts w:hint="eastAsia" w:ascii="Times New Roman" w:hAnsi="Times New Roman" w:eastAsia="仿宋_GB2312" w:cs="Times New Roman"/>
          <w:i w:val="0"/>
          <w:iCs w:val="0"/>
          <w:caps w:val="0"/>
          <w:color w:val="auto"/>
          <w:spacing w:val="0"/>
          <w:kern w:val="2"/>
          <w:sz w:val="32"/>
          <w:szCs w:val="32"/>
          <w:shd w:val="clear" w:fill="FFFFFF"/>
          <w:lang w:val="en-US" w:eastAsia="zh-CN"/>
        </w:rPr>
        <w:t>指</w:t>
      </w:r>
      <w:r>
        <w:rPr>
          <w:rFonts w:hint="eastAsia" w:ascii="Times New Roman" w:hAnsi="Times New Roman" w:eastAsia="仿宋_GB2312" w:cs="Times New Roman"/>
          <w:i w:val="0"/>
          <w:iCs w:val="0"/>
          <w:caps w:val="0"/>
          <w:color w:val="auto"/>
          <w:spacing w:val="0"/>
          <w:kern w:val="2"/>
          <w:sz w:val="32"/>
          <w:szCs w:val="32"/>
          <w:shd w:val="clear" w:fill="FFFFFF"/>
        </w:rPr>
        <w:t>财政拨款结转资金，</w:t>
      </w:r>
      <w:r>
        <w:rPr>
          <w:rFonts w:hint="eastAsia" w:ascii="Times New Roman" w:hAnsi="Times New Roman" w:eastAsia="仿宋_GB2312" w:cs="Times New Roman"/>
          <w:i w:val="0"/>
          <w:iCs w:val="0"/>
          <w:caps w:val="0"/>
          <w:color w:val="auto"/>
          <w:spacing w:val="0"/>
          <w:kern w:val="2"/>
          <w:sz w:val="32"/>
          <w:szCs w:val="32"/>
          <w:shd w:val="clear" w:fill="FFFFFF"/>
          <w:lang w:val="en-US" w:eastAsia="zh-CN"/>
        </w:rPr>
        <w:t>即</w:t>
      </w:r>
      <w:r>
        <w:rPr>
          <w:rFonts w:hint="eastAsia" w:ascii="Times New Roman" w:hAnsi="Times New Roman" w:eastAsia="仿宋_GB2312" w:cs="Times New Roman"/>
          <w:i w:val="0"/>
          <w:iCs w:val="0"/>
          <w:caps w:val="0"/>
          <w:color w:val="auto"/>
          <w:spacing w:val="0"/>
          <w:kern w:val="2"/>
          <w:sz w:val="32"/>
          <w:szCs w:val="32"/>
          <w:shd w:val="clear" w:fill="FFFFFF"/>
        </w:rPr>
        <w:t>当年支出预算已执行但尚未完成，或因故未执行，下年需按原用途继续使用的财政拨款资金。</w:t>
      </w:r>
    </w:p>
    <w:p w14:paraId="7607A7C6">
      <w:pPr>
        <w:pStyle w:val="6"/>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auto"/>
          <w:spacing w:val="0"/>
          <w:kern w:val="2"/>
          <w:sz w:val="32"/>
          <w:szCs w:val="32"/>
          <w:shd w:val="clear" w:fill="FFFFFF"/>
        </w:rPr>
      </w:pPr>
      <w:r>
        <w:rPr>
          <w:rFonts w:hint="eastAsia" w:ascii="Times New Roman" w:hAnsi="Times New Roman" w:eastAsia="仿宋_GB2312" w:cs="Times New Roman"/>
          <w:b/>
          <w:bCs/>
          <w:i w:val="0"/>
          <w:iCs w:val="0"/>
          <w:caps w:val="0"/>
          <w:color w:val="auto"/>
          <w:spacing w:val="0"/>
          <w:kern w:val="2"/>
          <w:sz w:val="32"/>
          <w:szCs w:val="32"/>
          <w:shd w:val="clear" w:fill="FFFFFF"/>
        </w:rPr>
        <w:t>结余资金：</w:t>
      </w:r>
      <w:r>
        <w:rPr>
          <w:rFonts w:hint="eastAsia" w:ascii="Times New Roman" w:hAnsi="Times New Roman" w:eastAsia="仿宋_GB2312" w:cs="Times New Roman"/>
          <w:i w:val="0"/>
          <w:iCs w:val="0"/>
          <w:caps w:val="0"/>
          <w:color w:val="auto"/>
          <w:spacing w:val="0"/>
          <w:kern w:val="2"/>
          <w:sz w:val="32"/>
          <w:szCs w:val="32"/>
          <w:shd w:val="clear" w:fill="FFFFFF"/>
          <w:lang w:val="en-US" w:eastAsia="zh-CN"/>
        </w:rPr>
        <w:t>指</w:t>
      </w:r>
      <w:r>
        <w:rPr>
          <w:rFonts w:hint="eastAsia" w:ascii="Times New Roman" w:hAnsi="Times New Roman" w:eastAsia="仿宋_GB2312" w:cs="Times New Roman"/>
          <w:i w:val="0"/>
          <w:iCs w:val="0"/>
          <w:caps w:val="0"/>
          <w:color w:val="auto"/>
          <w:spacing w:val="0"/>
          <w:kern w:val="2"/>
          <w:sz w:val="32"/>
          <w:szCs w:val="32"/>
          <w:shd w:val="clear" w:fill="FFFFFF"/>
        </w:rPr>
        <w:t>财政拨款结余资金，</w:t>
      </w:r>
      <w:r>
        <w:rPr>
          <w:rFonts w:hint="eastAsia" w:ascii="Times New Roman" w:hAnsi="Times New Roman" w:eastAsia="仿宋_GB2312" w:cs="Times New Roman"/>
          <w:i w:val="0"/>
          <w:iCs w:val="0"/>
          <w:caps w:val="0"/>
          <w:color w:val="auto"/>
          <w:spacing w:val="0"/>
          <w:kern w:val="2"/>
          <w:sz w:val="32"/>
          <w:szCs w:val="32"/>
          <w:shd w:val="clear" w:fill="FFFFFF"/>
          <w:lang w:val="en-US" w:eastAsia="zh-CN"/>
        </w:rPr>
        <w:t>即</w:t>
      </w:r>
      <w:r>
        <w:rPr>
          <w:rFonts w:hint="eastAsia" w:ascii="Times New Roman" w:hAnsi="Times New Roman" w:eastAsia="仿宋_GB2312" w:cs="Times New Roman"/>
          <w:i w:val="0"/>
          <w:iCs w:val="0"/>
          <w:caps w:val="0"/>
          <w:color w:val="auto"/>
          <w:spacing w:val="0"/>
          <w:kern w:val="2"/>
          <w:sz w:val="32"/>
          <w:szCs w:val="32"/>
          <w:shd w:val="clear" w:fill="FFFFFF"/>
        </w:rPr>
        <w:t>支出预算工作目标已完成，或由于受政策变化、计划调整等因素影响工作终止，当年剩余的财政拨款资金。</w:t>
      </w:r>
    </w:p>
    <w:p w14:paraId="28DA113D">
      <w:pPr>
        <w:pStyle w:val="6"/>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auto"/>
          <w:spacing w:val="0"/>
          <w:kern w:val="2"/>
          <w:sz w:val="32"/>
          <w:szCs w:val="32"/>
          <w:shd w:val="clear" w:fill="FFFFFF"/>
          <w:lang w:val="en-US" w:eastAsia="zh-CN"/>
        </w:rPr>
      </w:pPr>
      <w:r>
        <w:rPr>
          <w:rFonts w:hint="eastAsia" w:ascii="Times New Roman" w:hAnsi="Times New Roman" w:eastAsia="仿宋_GB2312" w:cs="Times New Roman"/>
          <w:b/>
          <w:bCs/>
          <w:i w:val="0"/>
          <w:iCs w:val="0"/>
          <w:caps w:val="0"/>
          <w:color w:val="auto"/>
          <w:spacing w:val="0"/>
          <w:kern w:val="2"/>
          <w:sz w:val="32"/>
          <w:szCs w:val="32"/>
          <w:shd w:val="clear" w:fill="FFFFFF"/>
          <w:lang w:val="en-US" w:eastAsia="zh-CN"/>
        </w:rPr>
        <w:t>预算稳定调节基金：</w:t>
      </w:r>
      <w:r>
        <w:rPr>
          <w:rFonts w:hint="eastAsia" w:ascii="Times New Roman" w:hAnsi="Times New Roman" w:eastAsia="仿宋_GB2312" w:cs="Times New Roman"/>
          <w:i w:val="0"/>
          <w:iCs w:val="0"/>
          <w:caps w:val="0"/>
          <w:color w:val="auto"/>
          <w:spacing w:val="0"/>
          <w:kern w:val="2"/>
          <w:sz w:val="32"/>
          <w:szCs w:val="32"/>
          <w:shd w:val="clear" w:fill="FFFFFF"/>
          <w:lang w:val="en-US" w:eastAsia="zh-CN"/>
        </w:rPr>
        <w:t>核算本级政府财政为保持年度间预算的衔接和稳定而设置的储备性资金。</w:t>
      </w:r>
    </w:p>
    <w:p w14:paraId="71516D2D">
      <w:pPr>
        <w:pStyle w:val="6"/>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auto"/>
          <w:spacing w:val="0"/>
          <w:kern w:val="2"/>
          <w:sz w:val="32"/>
          <w:szCs w:val="32"/>
          <w:shd w:val="clear" w:fill="FFFFFF"/>
        </w:rPr>
      </w:pPr>
      <w:r>
        <w:rPr>
          <w:rFonts w:hint="eastAsia" w:ascii="Times New Roman" w:hAnsi="Times New Roman" w:eastAsia="仿宋_GB2312" w:cs="Times New Roman"/>
          <w:b/>
          <w:bCs/>
          <w:i w:val="0"/>
          <w:iCs w:val="0"/>
          <w:caps w:val="0"/>
          <w:color w:val="auto"/>
          <w:spacing w:val="0"/>
          <w:kern w:val="2"/>
          <w:sz w:val="32"/>
          <w:szCs w:val="32"/>
          <w:shd w:val="clear" w:fill="FFFFFF"/>
        </w:rPr>
        <w:t>盘活财政存量资金：</w:t>
      </w:r>
      <w:r>
        <w:rPr>
          <w:rFonts w:hint="eastAsia" w:ascii="Times New Roman" w:hAnsi="Times New Roman" w:eastAsia="仿宋_GB2312" w:cs="Times New Roman"/>
          <w:i w:val="0"/>
          <w:iCs w:val="0"/>
          <w:caps w:val="0"/>
          <w:color w:val="auto"/>
          <w:spacing w:val="0"/>
          <w:kern w:val="2"/>
          <w:sz w:val="32"/>
          <w:szCs w:val="32"/>
          <w:shd w:val="clear" w:fill="FFFFFF"/>
        </w:rPr>
        <w:t>主要是把一些没有按照预算进度执行、依然沉淀在账上的结余资金用起来，更好地提高财政资金使用效益。</w:t>
      </w:r>
    </w:p>
    <w:p w14:paraId="21B8D253">
      <w:pPr>
        <w:pStyle w:val="6"/>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auto"/>
          <w:spacing w:val="0"/>
          <w:kern w:val="2"/>
          <w:sz w:val="32"/>
          <w:szCs w:val="32"/>
          <w:shd w:val="clear" w:fill="FFFFFF"/>
        </w:rPr>
      </w:pPr>
      <w:r>
        <w:rPr>
          <w:rFonts w:hint="eastAsia" w:ascii="Times New Roman" w:hAnsi="Times New Roman" w:eastAsia="仿宋_GB2312" w:cs="Times New Roman"/>
          <w:b/>
          <w:bCs/>
          <w:i w:val="0"/>
          <w:iCs w:val="0"/>
          <w:caps w:val="0"/>
          <w:color w:val="auto"/>
          <w:spacing w:val="0"/>
          <w:kern w:val="2"/>
          <w:sz w:val="32"/>
          <w:szCs w:val="32"/>
          <w:shd w:val="clear" w:fill="FFFFFF"/>
          <w:lang w:val="en-US" w:eastAsia="zh-CN"/>
        </w:rPr>
        <w:t>再融资</w:t>
      </w:r>
      <w:r>
        <w:rPr>
          <w:rFonts w:hint="eastAsia" w:ascii="Times New Roman" w:hAnsi="Times New Roman" w:eastAsia="仿宋_GB2312" w:cs="Times New Roman"/>
          <w:b/>
          <w:bCs/>
          <w:i w:val="0"/>
          <w:iCs w:val="0"/>
          <w:caps w:val="0"/>
          <w:color w:val="auto"/>
          <w:spacing w:val="0"/>
          <w:kern w:val="2"/>
          <w:sz w:val="32"/>
          <w:szCs w:val="32"/>
          <w:shd w:val="clear" w:fill="FFFFFF"/>
        </w:rPr>
        <w:t>债券：</w:t>
      </w:r>
      <w:r>
        <w:rPr>
          <w:rFonts w:hint="eastAsia" w:ascii="Times New Roman" w:hAnsi="Times New Roman" w:eastAsia="仿宋_GB2312" w:cs="Times New Roman"/>
          <w:i w:val="0"/>
          <w:iCs w:val="0"/>
          <w:caps w:val="0"/>
          <w:color w:val="auto"/>
          <w:spacing w:val="0"/>
          <w:kern w:val="2"/>
          <w:sz w:val="32"/>
          <w:szCs w:val="32"/>
          <w:shd w:val="clear" w:fill="FFFFFF"/>
        </w:rPr>
        <w:t>指地方政府在利率适度的条件下，通过</w:t>
      </w:r>
      <w:r>
        <w:rPr>
          <w:rFonts w:hint="eastAsia" w:ascii="Times New Roman" w:hAnsi="Times New Roman" w:eastAsia="仿宋_GB2312" w:cs="Times New Roman"/>
          <w:i w:val="0"/>
          <w:iCs w:val="0"/>
          <w:caps w:val="0"/>
          <w:color w:val="auto"/>
          <w:spacing w:val="0"/>
          <w:kern w:val="2"/>
          <w:sz w:val="32"/>
          <w:szCs w:val="32"/>
          <w:shd w:val="clear" w:fill="FFFFFF"/>
          <w:lang w:val="en-US" w:eastAsia="zh-CN"/>
        </w:rPr>
        <w:t>发行</w:t>
      </w:r>
      <w:r>
        <w:rPr>
          <w:rFonts w:hint="eastAsia" w:ascii="Times New Roman" w:hAnsi="Times New Roman" w:eastAsia="仿宋_GB2312" w:cs="Times New Roman"/>
          <w:i w:val="0"/>
          <w:iCs w:val="0"/>
          <w:caps w:val="0"/>
          <w:color w:val="auto"/>
          <w:spacing w:val="0"/>
          <w:kern w:val="2"/>
          <w:sz w:val="32"/>
          <w:szCs w:val="32"/>
          <w:shd w:val="clear" w:fill="FFFFFF"/>
        </w:rPr>
        <w:t>新债</w:t>
      </w:r>
      <w:r>
        <w:rPr>
          <w:rFonts w:hint="eastAsia" w:ascii="Times New Roman" w:hAnsi="Times New Roman" w:eastAsia="仿宋_GB2312" w:cs="Times New Roman"/>
          <w:i w:val="0"/>
          <w:iCs w:val="0"/>
          <w:caps w:val="0"/>
          <w:color w:val="auto"/>
          <w:spacing w:val="0"/>
          <w:kern w:val="2"/>
          <w:sz w:val="32"/>
          <w:szCs w:val="32"/>
          <w:shd w:val="clear" w:fill="FFFFFF"/>
          <w:lang w:val="en-US" w:eastAsia="zh-CN"/>
        </w:rPr>
        <w:t>券</w:t>
      </w:r>
      <w:r>
        <w:rPr>
          <w:rFonts w:hint="eastAsia" w:ascii="Times New Roman" w:hAnsi="Times New Roman" w:eastAsia="仿宋_GB2312" w:cs="Times New Roman"/>
          <w:i w:val="0"/>
          <w:iCs w:val="0"/>
          <w:caps w:val="0"/>
          <w:color w:val="auto"/>
          <w:spacing w:val="0"/>
          <w:kern w:val="2"/>
          <w:sz w:val="32"/>
          <w:szCs w:val="32"/>
          <w:shd w:val="clear" w:fill="FFFFFF"/>
        </w:rPr>
        <w:t>来</w:t>
      </w:r>
      <w:r>
        <w:rPr>
          <w:rFonts w:hint="eastAsia" w:ascii="Times New Roman" w:hAnsi="Times New Roman" w:eastAsia="仿宋_GB2312" w:cs="Times New Roman"/>
          <w:i w:val="0"/>
          <w:iCs w:val="0"/>
          <w:caps w:val="0"/>
          <w:color w:val="auto"/>
          <w:spacing w:val="0"/>
          <w:kern w:val="2"/>
          <w:sz w:val="32"/>
          <w:szCs w:val="32"/>
          <w:shd w:val="clear" w:fill="FFFFFF"/>
          <w:lang w:val="en-US" w:eastAsia="zh-CN"/>
        </w:rPr>
        <w:t>偿还到期</w:t>
      </w:r>
      <w:r>
        <w:rPr>
          <w:rFonts w:hint="eastAsia" w:ascii="Times New Roman" w:hAnsi="Times New Roman" w:eastAsia="仿宋_GB2312" w:cs="Times New Roman"/>
          <w:i w:val="0"/>
          <w:iCs w:val="0"/>
          <w:caps w:val="0"/>
          <w:color w:val="auto"/>
          <w:spacing w:val="0"/>
          <w:kern w:val="2"/>
          <w:sz w:val="32"/>
          <w:szCs w:val="32"/>
          <w:shd w:val="clear" w:fill="FFFFFF"/>
        </w:rPr>
        <w:t>旧债</w:t>
      </w:r>
      <w:r>
        <w:rPr>
          <w:rFonts w:hint="eastAsia" w:ascii="Times New Roman" w:hAnsi="Times New Roman" w:eastAsia="仿宋_GB2312" w:cs="Times New Roman"/>
          <w:i w:val="0"/>
          <w:iCs w:val="0"/>
          <w:caps w:val="0"/>
          <w:color w:val="auto"/>
          <w:spacing w:val="0"/>
          <w:kern w:val="2"/>
          <w:sz w:val="32"/>
          <w:szCs w:val="32"/>
          <w:shd w:val="clear" w:fill="FFFFFF"/>
          <w:lang w:val="en-US" w:eastAsia="zh-CN"/>
        </w:rPr>
        <w:t>券</w:t>
      </w:r>
      <w:r>
        <w:rPr>
          <w:rFonts w:hint="eastAsia" w:ascii="Times New Roman" w:hAnsi="Times New Roman" w:eastAsia="仿宋_GB2312" w:cs="Times New Roman"/>
          <w:i w:val="0"/>
          <w:iCs w:val="0"/>
          <w:caps w:val="0"/>
          <w:color w:val="auto"/>
          <w:spacing w:val="0"/>
          <w:kern w:val="2"/>
          <w:sz w:val="32"/>
          <w:szCs w:val="32"/>
          <w:shd w:val="clear" w:fill="FFFFFF"/>
        </w:rPr>
        <w:t>，实现债务期限延后的方式，用于缓解地方债务压力。</w:t>
      </w:r>
    </w:p>
    <w:p w14:paraId="39CEC521">
      <w:pPr>
        <w:pStyle w:val="6"/>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auto"/>
          <w:spacing w:val="0"/>
          <w:kern w:val="2"/>
          <w:sz w:val="32"/>
          <w:szCs w:val="32"/>
          <w:shd w:val="clear" w:fill="FFFFFF"/>
        </w:rPr>
      </w:pPr>
      <w:r>
        <w:rPr>
          <w:rFonts w:hint="eastAsia" w:ascii="Times New Roman" w:hAnsi="Times New Roman" w:eastAsia="仿宋_GB2312" w:cs="Times New Roman"/>
          <w:b/>
          <w:bCs/>
          <w:i w:val="0"/>
          <w:iCs w:val="0"/>
          <w:caps w:val="0"/>
          <w:color w:val="auto"/>
          <w:spacing w:val="0"/>
          <w:kern w:val="2"/>
          <w:sz w:val="32"/>
          <w:szCs w:val="32"/>
          <w:shd w:val="clear" w:fill="FFFFFF"/>
        </w:rPr>
        <w:t>一般债券：</w:t>
      </w:r>
      <w:r>
        <w:rPr>
          <w:rFonts w:hint="eastAsia" w:ascii="Times New Roman" w:hAnsi="Times New Roman" w:eastAsia="仿宋_GB2312" w:cs="Times New Roman"/>
          <w:i w:val="0"/>
          <w:iCs w:val="0"/>
          <w:caps w:val="0"/>
          <w:color w:val="auto"/>
          <w:spacing w:val="0"/>
          <w:kern w:val="2"/>
          <w:sz w:val="32"/>
          <w:szCs w:val="32"/>
          <w:shd w:val="clear" w:fill="FFFFFF"/>
        </w:rPr>
        <w:t>地方政府一般债券（简称一般债券）是指省、自治区、直辖市政府为没有收益的公益性项目发行的、约定一定期限内主要以一般公共预算收入还本付息的政府债券。债券资金收支列入一般公共预算管理，募集资金用于没有收益的公益性项目，偿债资金安排主要来自税收收入。</w:t>
      </w:r>
    </w:p>
    <w:p w14:paraId="7DE020AF">
      <w:pPr>
        <w:pStyle w:val="6"/>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仿宋_GB2312" w:cs="Times New Roman"/>
          <w:i w:val="0"/>
          <w:iCs w:val="0"/>
          <w:caps w:val="0"/>
          <w:color w:val="auto"/>
          <w:spacing w:val="0"/>
          <w:kern w:val="2"/>
          <w:sz w:val="32"/>
          <w:szCs w:val="32"/>
          <w:shd w:val="clear" w:fill="FFFFFF"/>
        </w:rPr>
      </w:pPr>
      <w:r>
        <w:rPr>
          <w:rFonts w:hint="eastAsia" w:ascii="Times New Roman" w:hAnsi="Times New Roman" w:eastAsia="仿宋_GB2312" w:cs="Times New Roman"/>
          <w:b/>
          <w:bCs/>
          <w:i w:val="0"/>
          <w:iCs w:val="0"/>
          <w:caps w:val="0"/>
          <w:color w:val="auto"/>
          <w:spacing w:val="0"/>
          <w:kern w:val="2"/>
          <w:sz w:val="32"/>
          <w:szCs w:val="32"/>
          <w:shd w:val="clear" w:fill="FFFFFF"/>
        </w:rPr>
        <w:t>专项债券：</w:t>
      </w:r>
      <w:r>
        <w:rPr>
          <w:rFonts w:hint="eastAsia" w:ascii="Times New Roman" w:hAnsi="Times New Roman" w:eastAsia="仿宋_GB2312" w:cs="Times New Roman"/>
          <w:i w:val="0"/>
          <w:iCs w:val="0"/>
          <w:caps w:val="0"/>
          <w:color w:val="auto"/>
          <w:spacing w:val="0"/>
          <w:kern w:val="2"/>
          <w:sz w:val="32"/>
          <w:szCs w:val="32"/>
          <w:shd w:val="clear" w:fill="FFFFFF"/>
        </w:rPr>
        <w:t>地方政府专项债券（简称专项债券）是指省、自治区、直辖市政府为有一定收益的公益性项目发行的、约定一定期限内以公益性项目对应的政府性基金或专项收入还本付息的政府债券。</w:t>
      </w:r>
    </w:p>
    <w:p w14:paraId="5015F4EA">
      <w:pPr>
        <w:spacing w:line="620" w:lineRule="exact"/>
        <w:ind w:firstLine="640" w:firstLineChars="200"/>
        <w:rPr>
          <w:rFonts w:hint="eastAsia" w:ascii="仿宋" w:hAnsi="仿宋" w:eastAsia="仿宋"/>
          <w:color w:val="000000"/>
          <w:sz w:val="32"/>
          <w:szCs w:val="32"/>
        </w:rPr>
      </w:pPr>
    </w:p>
    <w:p w14:paraId="4850473A">
      <w:pPr>
        <w:pStyle w:val="5"/>
        <w:spacing w:line="620" w:lineRule="exact"/>
        <w:ind w:firstLine="640" w:firstLineChars="200"/>
        <w:rPr>
          <w:rFonts w:hint="default" w:ascii="仿宋" w:hAnsi="仿宋" w:eastAsia="仿宋" w:cs="Times New Roman"/>
          <w:color w:val="000000"/>
          <w:kern w:val="2"/>
          <w:sz w:val="32"/>
          <w:szCs w:val="32"/>
          <w:lang w:val="en-US" w:eastAsia="zh-CN"/>
        </w:rPr>
      </w:pPr>
    </w:p>
    <w:sectPr>
      <w:footerReference r:id="rId3" w:type="default"/>
      <w:pgSz w:w="11906" w:h="16838"/>
      <w:pgMar w:top="1984" w:right="1587" w:bottom="1701"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1FD5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3CE591">
                          <w:pPr>
                            <w:pStyle w:val="3"/>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3CE591">
                    <w:pPr>
                      <w:pStyle w:val="3"/>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1NmUzMzIzMmNkYjNjMzcyMWEzZmY0MWE1MDkyY2MifQ=="/>
  </w:docVars>
  <w:rsids>
    <w:rsidRoot w:val="5AE14B2F"/>
    <w:rsid w:val="08DF6666"/>
    <w:rsid w:val="14EC51E3"/>
    <w:rsid w:val="31BA51C7"/>
    <w:rsid w:val="3A7D5AB3"/>
    <w:rsid w:val="3C400777"/>
    <w:rsid w:val="51B35BD7"/>
    <w:rsid w:val="52A81187"/>
    <w:rsid w:val="5A5C36B4"/>
    <w:rsid w:val="5AE14B2F"/>
    <w:rsid w:val="601D02E5"/>
    <w:rsid w:val="650F4E0C"/>
    <w:rsid w:val="797E7696"/>
    <w:rsid w:val="7CB77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hint="eastAsia"/>
      <w:sz w:val="32"/>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6">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1014</Words>
  <Characters>1026</Characters>
  <Lines>0</Lines>
  <Paragraphs>0</Paragraphs>
  <TotalTime>28</TotalTime>
  <ScaleCrop>false</ScaleCrop>
  <LinksUpToDate>false</LinksUpToDate>
  <CharactersWithSpaces>1026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2022-08-16T08:39:00Z</dcterms:created>
  <dc:creator>H、</dc:creator>
  <cp:lastModifiedBy>H、</cp:lastModifiedBy>
  <dcterms:modified xsi:type="dcterms:W3CDTF">2026-01-22T07:49:55Z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8BC0986EE8714150A255F8548FC37201_13</vt:lpwstr>
  </property>
  <property fmtid="{D5CDD505-2E9C-101B-9397-08002B2CF9AE}" pid="4" name="KSOTemplateDocerSaveRecord">
    <vt:lpwstr>eyJoZGlkIjoiODNjZTM1Mjc2NjQxMmRhODA2OWEwZmZlNWZiYzdlMjciLCJ1c2VySWQiOiI1MDUyNzAwMzAifQ==</vt:lpwstr>
  </property>
</Properties>
</file>