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FB12E">
      <w:pPr>
        <w:keepNext w:val="0"/>
        <w:keepLines w:val="0"/>
        <w:pageBreakBefore w:val="0"/>
        <w:widowControl/>
        <w:kinsoku/>
        <w:wordWrap/>
        <w:overflowPunct/>
        <w:topLinePunct w:val="0"/>
        <w:autoSpaceDE/>
        <w:autoSpaceDN/>
        <w:bidi w:val="0"/>
        <w:adjustRightInd w:val="0"/>
        <w:snapToGrid w:val="0"/>
        <w:spacing w:after="0" w:line="500" w:lineRule="exact"/>
        <w:ind w:left="0" w:leftChars="0" w:right="3774" w:rightChars="1797" w:firstLine="0" w:firstLineChars="0"/>
        <w:textAlignment w:val="auto"/>
        <w:rPr>
          <w:rFonts w:hint="default" w:ascii="Times New Roman" w:hAnsi="Times New Roman" w:eastAsia="黑体" w:cs="Times New Roman"/>
          <w:color w:val="0C0C0C"/>
          <w:spacing w:val="0"/>
          <w:sz w:val="28"/>
        </w:rPr>
      </w:pPr>
      <w:r>
        <w:rPr>
          <w:rFonts w:hint="default" w:ascii="Times New Roman" w:hAnsi="Times New Roman" w:eastAsia="黑体" w:cs="Times New Roman"/>
          <w:color w:val="0C0C0C"/>
          <w:spacing w:val="0"/>
          <w:sz w:val="28"/>
        </w:rPr>
        <w:t>浉河区六届人大</w:t>
      </w:r>
      <w:r>
        <w:rPr>
          <w:rFonts w:hint="default" w:ascii="Times New Roman" w:hAnsi="Times New Roman" w:eastAsia="黑体" w:cs="Times New Roman"/>
          <w:color w:val="0C0C0C"/>
          <w:spacing w:val="0"/>
          <w:sz w:val="28"/>
          <w:lang w:eastAsia="zh-CN"/>
        </w:rPr>
        <w:t>七</w:t>
      </w:r>
      <w:r>
        <w:rPr>
          <w:rFonts w:hint="default" w:ascii="Times New Roman" w:hAnsi="Times New Roman" w:eastAsia="黑体" w:cs="Times New Roman"/>
          <w:color w:val="0C0C0C"/>
          <w:spacing w:val="0"/>
          <w:sz w:val="28"/>
        </w:rPr>
        <w:t>次</w:t>
      </w:r>
    </w:p>
    <w:p w14:paraId="758DDCDD">
      <w:pPr>
        <w:keepNext w:val="0"/>
        <w:keepLines w:val="0"/>
        <w:pageBreakBefore w:val="0"/>
        <w:kinsoku/>
        <w:wordWrap/>
        <w:overflowPunct/>
        <w:topLinePunct w:val="0"/>
        <w:autoSpaceDE/>
        <w:autoSpaceDN/>
        <w:bidi w:val="0"/>
        <w:adjustRightInd w:val="0"/>
        <w:snapToGrid w:val="0"/>
        <w:spacing w:line="500" w:lineRule="exact"/>
        <w:ind w:firstLine="0" w:firstLineChars="0"/>
        <w:jc w:val="both"/>
        <w:textAlignment w:val="auto"/>
        <w:rPr>
          <w:rFonts w:hint="default" w:ascii="Times New Roman" w:hAnsi="Times New Roman" w:eastAsia="黑体" w:cs="Times New Roman"/>
          <w:b w:val="0"/>
          <w:bCs w:val="0"/>
          <w:color w:val="0C0C0C"/>
          <w:spacing w:val="79"/>
          <w:w w:val="100"/>
          <w:sz w:val="44"/>
          <w:szCs w:val="44"/>
          <w:lang w:val="en-US" w:eastAsia="zh-CN"/>
        </w:rPr>
      </w:pPr>
      <w:r>
        <w:rPr>
          <w:rFonts w:hint="default" w:ascii="Times New Roman" w:hAnsi="Times New Roman" w:eastAsia="黑体" w:cs="Times New Roman"/>
          <w:color w:val="0C0C0C"/>
          <w:spacing w:val="79"/>
          <w:w w:val="100"/>
          <w:sz w:val="28"/>
          <w:szCs w:val="28"/>
        </w:rPr>
        <w:t>会</w:t>
      </w:r>
      <w:r>
        <w:rPr>
          <w:rFonts w:hint="default" w:ascii="Times New Roman" w:hAnsi="Times New Roman" w:eastAsia="黑体" w:cs="Times New Roman"/>
          <w:color w:val="0C0C0C"/>
          <w:spacing w:val="85"/>
          <w:w w:val="100"/>
          <w:sz w:val="28"/>
          <w:szCs w:val="28"/>
        </w:rPr>
        <w:t>议材料</w:t>
      </w:r>
      <w:r>
        <w:rPr>
          <w:rFonts w:hint="default" w:ascii="Times New Roman" w:hAnsi="Times New Roman" w:eastAsia="黑体" w:cs="Times New Roman"/>
          <w:color w:val="0C0C0C"/>
          <w:spacing w:val="79"/>
          <w:w w:val="100"/>
          <w:sz w:val="28"/>
          <w:szCs w:val="28"/>
        </w:rPr>
        <w:t>之</w:t>
      </w:r>
      <w:r>
        <w:rPr>
          <w:rFonts w:hint="default" w:ascii="Times New Roman" w:hAnsi="Times New Roman" w:eastAsia="黑体" w:cs="Times New Roman"/>
          <w:color w:val="0C0C0C"/>
          <w:spacing w:val="79"/>
          <w:w w:val="100"/>
          <w:sz w:val="28"/>
          <w:szCs w:val="28"/>
          <w:lang w:eastAsia="zh-CN"/>
        </w:rPr>
        <w:t>六</w:t>
      </w:r>
    </w:p>
    <w:p w14:paraId="7113ACFD">
      <w:pPr>
        <w:spacing w:line="640" w:lineRule="exact"/>
        <w:ind w:firstLine="0" w:firstLineChars="0"/>
        <w:jc w:val="center"/>
        <w:rPr>
          <w:rFonts w:hint="default" w:ascii="Times New Roman" w:hAnsi="Times New Roman" w:eastAsia="方正小标宋_GBK" w:cs="Times New Roman"/>
          <w:b w:val="0"/>
          <w:bCs w:val="0"/>
          <w:color w:val="0C0C0C"/>
          <w:w w:val="90"/>
          <w:sz w:val="44"/>
          <w:szCs w:val="44"/>
        </w:rPr>
      </w:pPr>
    </w:p>
    <w:p w14:paraId="45943B42">
      <w:pPr>
        <w:keepNext w:val="0"/>
        <w:keepLines w:val="0"/>
        <w:pageBreakBefore w:val="0"/>
        <w:widowControl w:val="0"/>
        <w:kinsoku/>
        <w:wordWrap/>
        <w:overflowPunct/>
        <w:topLinePunct w:val="0"/>
        <w:autoSpaceDE/>
        <w:autoSpaceDN/>
        <w:bidi w:val="0"/>
        <w:adjustRightInd/>
        <w:snapToGrid/>
        <w:spacing w:line="600" w:lineRule="exact"/>
        <w:ind w:left="0" w:right="0" w:rightChars="0"/>
        <w:jc w:val="center"/>
        <w:textAlignment w:val="auto"/>
        <w:rPr>
          <w:rFonts w:hint="default" w:ascii="Times New Roman" w:hAnsi="Times New Roman" w:eastAsia="方正小标宋_GBK" w:cs="Times New Roman"/>
          <w:i w:val="0"/>
          <w:iCs w:val="0"/>
          <w:caps w:val="0"/>
          <w:color w:val="0F1115"/>
          <w:spacing w:val="0"/>
          <w:sz w:val="44"/>
          <w:szCs w:val="44"/>
          <w:shd w:val="clear" w:fill="FFFFFF"/>
          <w:lang w:val="en-US" w:eastAsia="zh-CN"/>
        </w:rPr>
      </w:pPr>
      <w:r>
        <w:rPr>
          <w:rFonts w:hint="default" w:ascii="Times New Roman" w:hAnsi="Times New Roman" w:eastAsia="方正小标宋_GBK" w:cs="Times New Roman"/>
          <w:i w:val="0"/>
          <w:iCs w:val="0"/>
          <w:caps w:val="0"/>
          <w:color w:val="0F1115"/>
          <w:spacing w:val="0"/>
          <w:sz w:val="44"/>
          <w:szCs w:val="44"/>
          <w:shd w:val="clear" w:fill="FFFFFF"/>
          <w:lang w:eastAsia="zh-CN"/>
        </w:rPr>
        <w:t>关于浉河区</w:t>
      </w:r>
      <w:r>
        <w:rPr>
          <w:rFonts w:hint="default" w:ascii="Times New Roman" w:hAnsi="Times New Roman" w:eastAsia="方正小标宋_GBK" w:cs="Times New Roman"/>
          <w:i w:val="0"/>
          <w:iCs w:val="0"/>
          <w:caps w:val="0"/>
          <w:color w:val="0F1115"/>
          <w:spacing w:val="0"/>
          <w:sz w:val="44"/>
          <w:szCs w:val="44"/>
          <w:shd w:val="clear" w:fill="FFFFFF"/>
          <w:lang w:val="en-US" w:eastAsia="zh-CN"/>
        </w:rPr>
        <w:t>2025年财政预算执行情况和</w:t>
      </w:r>
    </w:p>
    <w:p w14:paraId="6AE3AB61">
      <w:pPr>
        <w:keepNext w:val="0"/>
        <w:keepLines w:val="0"/>
        <w:pageBreakBefore w:val="0"/>
        <w:widowControl w:val="0"/>
        <w:kinsoku/>
        <w:wordWrap/>
        <w:overflowPunct/>
        <w:topLinePunct w:val="0"/>
        <w:autoSpaceDE/>
        <w:autoSpaceDN/>
        <w:bidi w:val="0"/>
        <w:adjustRightInd/>
        <w:snapToGrid/>
        <w:spacing w:line="600" w:lineRule="exact"/>
        <w:ind w:left="0" w:right="0" w:rightChars="0"/>
        <w:jc w:val="center"/>
        <w:textAlignment w:val="auto"/>
        <w:rPr>
          <w:rFonts w:hint="default" w:ascii="Times New Roman" w:hAnsi="Times New Roman" w:eastAsia="方正小标宋_GBK" w:cs="Times New Roman"/>
          <w:i w:val="0"/>
          <w:iCs w:val="0"/>
          <w:caps w:val="0"/>
          <w:color w:val="0F1115"/>
          <w:spacing w:val="0"/>
          <w:sz w:val="44"/>
          <w:szCs w:val="44"/>
          <w:shd w:val="clear" w:fill="FFFFFF"/>
          <w:lang w:val="en-US" w:eastAsia="zh-CN"/>
        </w:rPr>
      </w:pPr>
      <w:r>
        <w:rPr>
          <w:rFonts w:hint="default" w:ascii="Times New Roman" w:hAnsi="Times New Roman" w:eastAsia="方正小标宋_GBK" w:cs="Times New Roman"/>
          <w:i w:val="0"/>
          <w:iCs w:val="0"/>
          <w:caps w:val="0"/>
          <w:color w:val="0F1115"/>
          <w:spacing w:val="0"/>
          <w:sz w:val="44"/>
          <w:szCs w:val="44"/>
          <w:shd w:val="clear" w:fill="FFFFFF"/>
          <w:lang w:val="en-US" w:eastAsia="zh-CN"/>
        </w:rPr>
        <w:t>2026年财政预算（草案）的报告</w:t>
      </w:r>
    </w:p>
    <w:p w14:paraId="12098205">
      <w:pPr>
        <w:keepNext w:val="0"/>
        <w:keepLines w:val="0"/>
        <w:pageBreakBefore w:val="0"/>
        <w:widowControl w:val="0"/>
        <w:kinsoku/>
        <w:wordWrap/>
        <w:overflowPunct/>
        <w:topLinePunct w:val="0"/>
        <w:autoSpaceDE/>
        <w:autoSpaceDN/>
        <w:bidi w:val="0"/>
        <w:adjustRightInd/>
        <w:snapToGrid/>
        <w:spacing w:line="600" w:lineRule="exact"/>
        <w:ind w:left="0" w:right="0" w:rightChars="0"/>
        <w:jc w:val="center"/>
        <w:textAlignment w:val="auto"/>
        <w:rPr>
          <w:rFonts w:hint="default" w:ascii="Times New Roman" w:hAnsi="Times New Roman" w:eastAsia="方正楷体_GBK" w:cs="Times New Roman"/>
          <w:b/>
          <w:bCs/>
          <w:color w:val="000000" w:themeColor="text1"/>
          <w:spacing w:val="0"/>
          <w:w w:val="95"/>
          <w:sz w:val="32"/>
          <w:szCs w:val="32"/>
          <w14:textFill>
            <w14:solidFill>
              <w14:schemeClr w14:val="tx1"/>
            </w14:solidFill>
          </w14:textFill>
        </w:rPr>
      </w:pPr>
      <w:r>
        <w:rPr>
          <w:rFonts w:hint="default" w:ascii="Times New Roman" w:hAnsi="Times New Roman" w:eastAsia="方正楷体_GBK" w:cs="Times New Roman"/>
          <w:b/>
          <w:bCs/>
          <w:i w:val="0"/>
          <w:iCs w:val="0"/>
          <w:caps w:val="0"/>
          <w:color w:val="0F1115"/>
          <w:spacing w:val="0"/>
          <w:w w:val="95"/>
          <w:sz w:val="32"/>
          <w:szCs w:val="32"/>
          <w:shd w:val="clear" w:fill="FFFFFF"/>
        </w:rPr>
        <w:t>—</w:t>
      </w:r>
      <w:r>
        <w:rPr>
          <w:rFonts w:hint="default" w:ascii="Times New Roman" w:hAnsi="Times New Roman" w:eastAsia="方正楷体_GBK" w:cs="Times New Roman"/>
          <w:b/>
          <w:bCs/>
          <w:color w:val="000000" w:themeColor="text1"/>
          <w:spacing w:val="0"/>
          <w:w w:val="95"/>
          <w:sz w:val="32"/>
          <w:szCs w:val="32"/>
          <w14:textFill>
            <w14:solidFill>
              <w14:schemeClr w14:val="tx1"/>
            </w14:solidFill>
          </w14:textFill>
        </w:rPr>
        <w:t>202</w:t>
      </w:r>
      <w:r>
        <w:rPr>
          <w:rFonts w:hint="default" w:ascii="Times New Roman" w:hAnsi="Times New Roman" w:eastAsia="方正楷体_GBK" w:cs="Times New Roman"/>
          <w:b/>
          <w:bCs/>
          <w:color w:val="000000" w:themeColor="text1"/>
          <w:spacing w:val="0"/>
          <w:w w:val="95"/>
          <w:sz w:val="32"/>
          <w:szCs w:val="32"/>
          <w:lang w:val="en-US" w:eastAsia="zh-CN"/>
          <w14:textFill>
            <w14:solidFill>
              <w14:schemeClr w14:val="tx1"/>
            </w14:solidFill>
          </w14:textFill>
        </w:rPr>
        <w:t>6</w:t>
      </w:r>
      <w:r>
        <w:rPr>
          <w:rFonts w:hint="default" w:ascii="Times New Roman" w:hAnsi="Times New Roman" w:eastAsia="方正楷体_GBK" w:cs="Times New Roman"/>
          <w:b/>
          <w:bCs/>
          <w:color w:val="000000" w:themeColor="text1"/>
          <w:spacing w:val="0"/>
          <w:w w:val="95"/>
          <w:sz w:val="32"/>
          <w:szCs w:val="32"/>
          <w14:textFill>
            <w14:solidFill>
              <w14:schemeClr w14:val="tx1"/>
            </w14:solidFill>
          </w14:textFill>
        </w:rPr>
        <w:t>年</w:t>
      </w:r>
      <w:r>
        <w:rPr>
          <w:rFonts w:hint="default" w:ascii="Times New Roman" w:hAnsi="Times New Roman" w:eastAsia="方正楷体_GBK" w:cs="Times New Roman"/>
          <w:b/>
          <w:bCs/>
          <w:color w:val="000000" w:themeColor="text1"/>
          <w:spacing w:val="0"/>
          <w:w w:val="95"/>
          <w:sz w:val="32"/>
          <w:szCs w:val="32"/>
          <w:lang w:val="en-US" w:eastAsia="zh-CN"/>
          <w14:textFill>
            <w14:solidFill>
              <w14:schemeClr w14:val="tx1"/>
            </w14:solidFill>
          </w14:textFill>
        </w:rPr>
        <w:t>2</w:t>
      </w:r>
      <w:r>
        <w:rPr>
          <w:rFonts w:hint="default" w:ascii="Times New Roman" w:hAnsi="Times New Roman" w:eastAsia="方正楷体_GBK" w:cs="Times New Roman"/>
          <w:b/>
          <w:bCs/>
          <w:color w:val="000000" w:themeColor="text1"/>
          <w:spacing w:val="0"/>
          <w:w w:val="95"/>
          <w:sz w:val="32"/>
          <w:szCs w:val="32"/>
          <w14:textFill>
            <w14:solidFill>
              <w14:schemeClr w14:val="tx1"/>
            </w14:solidFill>
          </w14:textFill>
        </w:rPr>
        <w:t>月</w:t>
      </w:r>
      <w:r>
        <w:rPr>
          <w:rFonts w:hint="default" w:ascii="Times New Roman" w:hAnsi="Times New Roman" w:eastAsia="方正楷体_GBK" w:cs="Times New Roman"/>
          <w:b/>
          <w:bCs/>
          <w:color w:val="000000" w:themeColor="text1"/>
          <w:spacing w:val="0"/>
          <w:w w:val="95"/>
          <w:sz w:val="32"/>
          <w:szCs w:val="32"/>
          <w:lang w:val="en-US" w:eastAsia="zh-CN"/>
          <w14:textFill>
            <w14:solidFill>
              <w14:schemeClr w14:val="tx1"/>
            </w14:solidFill>
          </w14:textFill>
        </w:rPr>
        <w:t>12</w:t>
      </w:r>
      <w:r>
        <w:rPr>
          <w:rFonts w:hint="eastAsia" w:ascii="Times New Roman" w:hAnsi="Times New Roman" w:eastAsia="方正楷体_GBK" w:cs="Times New Roman"/>
          <w:b/>
          <w:bCs/>
          <w:color w:val="000000" w:themeColor="text1"/>
          <w:spacing w:val="0"/>
          <w:w w:val="95"/>
          <w:sz w:val="32"/>
          <w:szCs w:val="32"/>
          <w:lang w:val="en-US" w:eastAsia="zh-CN"/>
          <w14:textFill>
            <w14:solidFill>
              <w14:schemeClr w14:val="tx1"/>
            </w14:solidFill>
          </w14:textFill>
        </w:rPr>
        <w:t>日</w:t>
      </w:r>
      <w:r>
        <w:rPr>
          <w:rFonts w:hint="default" w:ascii="Times New Roman" w:hAnsi="Times New Roman" w:eastAsia="方正楷体_GBK" w:cs="Times New Roman"/>
          <w:b/>
          <w:bCs/>
          <w:color w:val="000000" w:themeColor="text1"/>
          <w:spacing w:val="0"/>
          <w:w w:val="95"/>
          <w:sz w:val="32"/>
          <w:szCs w:val="32"/>
          <w14:textFill>
            <w14:solidFill>
              <w14:schemeClr w14:val="tx1"/>
            </w14:solidFill>
          </w14:textFill>
        </w:rPr>
        <w:t>在浉河区</w:t>
      </w:r>
      <w:r>
        <w:rPr>
          <w:rFonts w:hint="eastAsia" w:ascii="Times New Roman" w:hAnsi="Times New Roman" w:eastAsia="方正楷体_GBK" w:cs="Times New Roman"/>
          <w:b/>
          <w:bCs/>
          <w:color w:val="000000" w:themeColor="text1"/>
          <w:spacing w:val="0"/>
          <w:w w:val="95"/>
          <w:sz w:val="32"/>
          <w:szCs w:val="32"/>
          <w:lang w:eastAsia="zh-CN"/>
          <w14:textFill>
            <w14:solidFill>
              <w14:schemeClr w14:val="tx1"/>
            </w14:solidFill>
          </w14:textFill>
        </w:rPr>
        <w:t>第</w:t>
      </w:r>
      <w:r>
        <w:rPr>
          <w:rFonts w:hint="default" w:ascii="Times New Roman" w:hAnsi="Times New Roman" w:eastAsia="方正楷体_GBK" w:cs="Times New Roman"/>
          <w:b/>
          <w:bCs/>
          <w:color w:val="000000" w:themeColor="text1"/>
          <w:spacing w:val="0"/>
          <w:w w:val="95"/>
          <w:sz w:val="32"/>
          <w:szCs w:val="32"/>
          <w:lang w:val="en-US" w:eastAsia="zh-CN"/>
          <w14:textFill>
            <w14:solidFill>
              <w14:schemeClr w14:val="tx1"/>
            </w14:solidFill>
          </w14:textFill>
        </w:rPr>
        <w:t>六</w:t>
      </w:r>
      <w:r>
        <w:rPr>
          <w:rFonts w:hint="default" w:ascii="Times New Roman" w:hAnsi="Times New Roman" w:eastAsia="方正楷体_GBK" w:cs="Times New Roman"/>
          <w:b/>
          <w:bCs/>
          <w:color w:val="000000" w:themeColor="text1"/>
          <w:spacing w:val="0"/>
          <w:w w:val="95"/>
          <w:sz w:val="32"/>
          <w:szCs w:val="32"/>
          <w14:textFill>
            <w14:solidFill>
              <w14:schemeClr w14:val="tx1"/>
            </w14:solidFill>
          </w14:textFill>
        </w:rPr>
        <w:t>届人民代表大会</w:t>
      </w:r>
      <w:r>
        <w:rPr>
          <w:rFonts w:hint="default" w:ascii="Times New Roman" w:hAnsi="Times New Roman" w:eastAsia="方正楷体_GBK" w:cs="Times New Roman"/>
          <w:b/>
          <w:bCs/>
          <w:color w:val="000000" w:themeColor="text1"/>
          <w:spacing w:val="0"/>
          <w:w w:val="95"/>
          <w:sz w:val="32"/>
          <w:szCs w:val="32"/>
          <w:lang w:eastAsia="zh-CN"/>
          <w14:textFill>
            <w14:solidFill>
              <w14:schemeClr w14:val="tx1"/>
            </w14:solidFill>
          </w14:textFill>
        </w:rPr>
        <w:t>第</w:t>
      </w:r>
      <w:r>
        <w:rPr>
          <w:rFonts w:hint="default" w:ascii="Times New Roman" w:hAnsi="Times New Roman" w:eastAsia="方正楷体_GBK" w:cs="Times New Roman"/>
          <w:b/>
          <w:bCs/>
          <w:color w:val="000000" w:themeColor="text1"/>
          <w:spacing w:val="0"/>
          <w:w w:val="95"/>
          <w:sz w:val="32"/>
          <w:szCs w:val="32"/>
          <w:lang w:val="en-US" w:eastAsia="zh-CN"/>
          <w14:textFill>
            <w14:solidFill>
              <w14:schemeClr w14:val="tx1"/>
            </w14:solidFill>
          </w14:textFill>
        </w:rPr>
        <w:t>七</w:t>
      </w:r>
      <w:r>
        <w:rPr>
          <w:rFonts w:hint="default" w:ascii="Times New Roman" w:hAnsi="Times New Roman" w:eastAsia="方正楷体_GBK" w:cs="Times New Roman"/>
          <w:b/>
          <w:bCs/>
          <w:color w:val="000000" w:themeColor="text1"/>
          <w:spacing w:val="0"/>
          <w:w w:val="95"/>
          <w:sz w:val="32"/>
          <w:szCs w:val="32"/>
          <w14:textFill>
            <w14:solidFill>
              <w14:schemeClr w14:val="tx1"/>
            </w14:solidFill>
          </w14:textFill>
        </w:rPr>
        <w:t>次会议上</w:t>
      </w:r>
    </w:p>
    <w:p w14:paraId="426AF2E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楷体_GBK" w:cs="Times New Roman"/>
          <w:b/>
          <w:bCs/>
          <w:color w:val="000000" w:themeColor="text1"/>
          <w:spacing w:val="0"/>
          <w:w w:val="100"/>
          <w:kern w:val="0"/>
          <w:sz w:val="32"/>
          <w:szCs w:val="32"/>
          <w:lang w:val="en-US" w:eastAsia="zh-CN"/>
          <w14:textFill>
            <w14:solidFill>
              <w14:schemeClr w14:val="tx1"/>
            </w14:solidFill>
          </w14:textFill>
        </w:rPr>
      </w:pPr>
      <w:r>
        <w:rPr>
          <w:rFonts w:hint="default" w:ascii="Times New Roman" w:hAnsi="Times New Roman" w:eastAsia="方正楷体_GBK" w:cs="Times New Roman"/>
          <w:b/>
          <w:bCs/>
          <w:color w:val="000000" w:themeColor="text1"/>
          <w:spacing w:val="0"/>
          <w:w w:val="100"/>
          <w:sz w:val="32"/>
          <w:szCs w:val="32"/>
          <w14:textFill>
            <w14:solidFill>
              <w14:schemeClr w14:val="tx1"/>
            </w14:solidFill>
          </w14:textFill>
        </w:rPr>
        <w:t>浉河区</w:t>
      </w:r>
      <w:r>
        <w:rPr>
          <w:rFonts w:hint="default" w:ascii="Times New Roman" w:hAnsi="Times New Roman" w:eastAsia="方正楷体_GBK" w:cs="Times New Roman"/>
          <w:b/>
          <w:bCs/>
          <w:color w:val="000000" w:themeColor="text1"/>
          <w:spacing w:val="0"/>
          <w:w w:val="100"/>
          <w:kern w:val="0"/>
          <w:sz w:val="32"/>
          <w:szCs w:val="32"/>
          <w14:textFill>
            <w14:solidFill>
              <w14:schemeClr w14:val="tx1"/>
            </w14:solidFill>
          </w14:textFill>
        </w:rPr>
        <w:t>财政局</w:t>
      </w:r>
      <w:r>
        <w:rPr>
          <w:rFonts w:hint="default" w:ascii="Times New Roman" w:hAnsi="Times New Roman" w:eastAsia="方正楷体_GBK" w:cs="Times New Roman"/>
          <w:b/>
          <w:bCs/>
          <w:color w:val="000000" w:themeColor="text1"/>
          <w:spacing w:val="0"/>
          <w:w w:val="100"/>
          <w:kern w:val="0"/>
          <w:sz w:val="32"/>
          <w:szCs w:val="32"/>
          <w:lang w:val="en-US" w:eastAsia="zh-CN"/>
          <w14:textFill>
            <w14:solidFill>
              <w14:schemeClr w14:val="tx1"/>
            </w14:solidFill>
          </w14:textFill>
        </w:rPr>
        <w:t>局长   张  兵</w:t>
      </w:r>
    </w:p>
    <w:p w14:paraId="5B7E372E">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20" w:lineRule="exact"/>
        <w:ind w:right="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p>
    <w:p w14:paraId="7096E28A">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right="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各位代表</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w:t>
      </w:r>
      <w:bookmarkStart w:id="0" w:name="_GoBack"/>
      <w:bookmarkEnd w:id="0"/>
    </w:p>
    <w:p w14:paraId="208F91B1">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受浉河区人民政府委托，现向大会报告浉河区202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5</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年财政预算执行情况和202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年财政预算（草案），请予审查，并请各位区政协委员和列席人士提出意见。</w:t>
      </w:r>
    </w:p>
    <w:p w14:paraId="167D49B7">
      <w:pPr>
        <w:keepNext w:val="0"/>
        <w:keepLines w:val="0"/>
        <w:pageBreakBefore w:val="0"/>
        <w:widowControl w:val="0"/>
        <w:kinsoku/>
        <w:wordWrap/>
        <w:overflowPunct/>
        <w:topLinePunct w:val="0"/>
        <w:autoSpaceDE/>
        <w:bidi w:val="0"/>
        <w:adjustRightInd/>
        <w:snapToGrid w:val="0"/>
        <w:spacing w:line="600" w:lineRule="exact"/>
        <w:ind w:left="0" w:right="0" w:rightChars="0" w:firstLine="643" w:firstLineChars="200"/>
        <w:jc w:val="both"/>
        <w:rPr>
          <w:rFonts w:hint="default" w:ascii="Times New Roman" w:hAnsi="Times New Roman" w:eastAsia="黑体" w:cs="Times New Roman"/>
          <w:color w:val="000000" w:themeColor="text1"/>
          <w:spacing w:val="0"/>
          <w:kern w:val="0"/>
          <w:sz w:val="32"/>
          <w:szCs w:val="32"/>
          <w14:textFill>
            <w14:solidFill>
              <w14:schemeClr w14:val="tx1"/>
            </w14:solidFill>
          </w14:textFill>
        </w:rPr>
      </w:pPr>
      <w:r>
        <w:rPr>
          <w:rStyle w:val="9"/>
          <w:rFonts w:hint="default" w:ascii="Times New Roman" w:hAnsi="Times New Roman" w:eastAsia="黑体" w:cs="Times New Roman"/>
          <w:color w:val="000000" w:themeColor="text1"/>
          <w:spacing w:val="0"/>
          <w:sz w:val="32"/>
          <w:szCs w:val="32"/>
          <w14:textFill>
            <w14:solidFill>
              <w14:schemeClr w14:val="tx1"/>
            </w14:solidFill>
          </w14:textFill>
        </w:rPr>
        <w:t>一</w:t>
      </w:r>
      <w:r>
        <w:rPr>
          <w:rFonts w:hint="default" w:ascii="Times New Roman" w:hAnsi="Times New Roman" w:eastAsia="黑体" w:cs="Times New Roman"/>
          <w:color w:val="000000" w:themeColor="text1"/>
          <w:spacing w:val="0"/>
          <w:kern w:val="0"/>
          <w:sz w:val="32"/>
          <w:szCs w:val="32"/>
          <w14:textFill>
            <w14:solidFill>
              <w14:schemeClr w14:val="tx1"/>
            </w14:solidFill>
          </w14:textFill>
        </w:rPr>
        <w:t>、202</w:t>
      </w:r>
      <w:r>
        <w:rPr>
          <w:rFonts w:hint="default" w:ascii="Times New Roman" w:hAnsi="Times New Roman" w:eastAsia="黑体" w:cs="Times New Roman"/>
          <w:color w:val="000000" w:themeColor="text1"/>
          <w:spacing w:val="0"/>
          <w:kern w:val="0"/>
          <w:sz w:val="32"/>
          <w:szCs w:val="32"/>
          <w:lang w:val="en-US" w:eastAsia="zh-CN"/>
          <w14:textFill>
            <w14:solidFill>
              <w14:schemeClr w14:val="tx1"/>
            </w14:solidFill>
          </w14:textFill>
        </w:rPr>
        <w:t>5</w:t>
      </w:r>
      <w:r>
        <w:rPr>
          <w:rFonts w:hint="default" w:ascii="Times New Roman" w:hAnsi="Times New Roman" w:eastAsia="黑体" w:cs="Times New Roman"/>
          <w:color w:val="000000" w:themeColor="text1"/>
          <w:spacing w:val="0"/>
          <w:kern w:val="0"/>
          <w:sz w:val="32"/>
          <w:szCs w:val="32"/>
          <w14:textFill>
            <w14:solidFill>
              <w14:schemeClr w14:val="tx1"/>
            </w14:solidFill>
          </w14:textFill>
        </w:rPr>
        <w:t>年</w:t>
      </w:r>
      <w:r>
        <w:rPr>
          <w:rFonts w:hint="default" w:ascii="Times New Roman" w:hAnsi="Times New Roman" w:eastAsia="黑体" w:cs="Times New Roman"/>
          <w:color w:val="000000" w:themeColor="text1"/>
          <w:spacing w:val="0"/>
          <w:kern w:val="0"/>
          <w:sz w:val="32"/>
          <w:szCs w:val="32"/>
          <w:lang w:val="en-US" w:eastAsia="zh-CN"/>
          <w14:textFill>
            <w14:solidFill>
              <w14:schemeClr w14:val="tx1"/>
            </w14:solidFill>
          </w14:textFill>
        </w:rPr>
        <w:t>全区财政预算执行</w:t>
      </w:r>
      <w:r>
        <w:rPr>
          <w:rFonts w:hint="default" w:ascii="Times New Roman" w:hAnsi="Times New Roman" w:eastAsia="黑体" w:cs="Times New Roman"/>
          <w:color w:val="000000" w:themeColor="text1"/>
          <w:spacing w:val="0"/>
          <w:kern w:val="0"/>
          <w:sz w:val="32"/>
          <w:szCs w:val="32"/>
          <w14:textFill>
            <w14:solidFill>
              <w14:schemeClr w14:val="tx1"/>
            </w14:solidFill>
          </w14:textFill>
        </w:rPr>
        <w:t>情况</w:t>
      </w:r>
    </w:p>
    <w:p w14:paraId="42ED810F">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（一）一般公共预算收支执行情况</w:t>
      </w:r>
    </w:p>
    <w:p w14:paraId="50345F46">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6"/>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2025年，全区公共财政预算收入合计444509万元，其中一般公共预算收入完成120717万元，总量位居县区第二，为调整预算的103%，同比下降4.7%；全区公共财政预算支出合计444509万元，其中一般公共预算支出完成342170万</w:t>
      </w:r>
      <w:r>
        <w:rPr>
          <w:rFonts w:hint="default" w:ascii="Times New Roman" w:hAnsi="Times New Roman" w:eastAsia="仿宋_GB2312" w:cs="Times New Roman"/>
          <w:i w:val="0"/>
          <w:iCs w:val="0"/>
          <w:caps w:val="0"/>
          <w:snapToGrid/>
          <w:color w:val="auto"/>
          <w:spacing w:val="-6"/>
          <w:kern w:val="2"/>
          <w:sz w:val="32"/>
          <w:szCs w:val="32"/>
          <w:shd w:val="clear" w:fill="FFFFFF"/>
          <w:lang w:val="en-US" w:eastAsia="zh-CN" w:bidi="ar-SA"/>
        </w:rPr>
        <w:t>元，为调整预算的102%，同比下降16.6%。全年实现收支平衡。</w:t>
      </w:r>
    </w:p>
    <w:p w14:paraId="786C0AA6">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（二）政府性基金预算收支执行情况</w:t>
      </w:r>
    </w:p>
    <w:p w14:paraId="3D543CE3">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2025年，全区政府性基金收入合计245970万元，其中政府性基金本级收入完成3892万元，为调整预算的100%；全区政府性基金支出合计245970万元，其中政府性基金支出完成104085万元，为调整预算的114.8%。全年实现收支平衡。</w:t>
      </w:r>
    </w:p>
    <w:p w14:paraId="5AB55C32">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（三）国有资本经营预算收支执行情况</w:t>
      </w:r>
    </w:p>
    <w:p w14:paraId="0FF485E3">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2025年，区属三家国企的主要业务仍集中于政府委托项目，市场化经营和具有持续盈利能力的现金业务占比较低，企业自身“造血”能力有待提升，对区财政收入贡献有限。国有资本经营预算收入174万元，其中上级补助收入174万</w:t>
      </w:r>
      <w:r>
        <w:rPr>
          <w:rFonts w:hint="default" w:ascii="Times New Roman" w:hAnsi="Times New Roman" w:eastAsia="仿宋_GB2312" w:cs="Times New Roman"/>
          <w:i w:val="0"/>
          <w:iCs w:val="0"/>
          <w:caps w:val="0"/>
          <w:snapToGrid/>
          <w:color w:val="auto"/>
          <w:spacing w:val="-6"/>
          <w:kern w:val="2"/>
          <w:sz w:val="32"/>
          <w:szCs w:val="32"/>
          <w:shd w:val="clear" w:fill="FFFFFF"/>
          <w:lang w:val="en-US" w:eastAsia="zh-CN" w:bidi="ar-SA"/>
        </w:rPr>
        <w:t>元；国有资本经营预算支出174万元，其中年终结余174万元。</w:t>
      </w:r>
    </w:p>
    <w:p w14:paraId="3754A3CB">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（四）社会保险基金预算收支执行情况</w:t>
      </w:r>
    </w:p>
    <w:p w14:paraId="441BE6D0">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2025年，社会保险基金收入完成30341万元，为年度预算收入的121.4%，同比增长12.8%；社会保险基金支出完成19041万元，为年度预算支出的109.7%，同比下降7.9%。收入增长主要原因是收到较多被征地补贴收入，且2025年财政补贴已足额拨付到位。</w:t>
      </w:r>
    </w:p>
    <w:p w14:paraId="0F67BB49">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（五）地方政府债券使用情况</w:t>
      </w:r>
    </w:p>
    <w:p w14:paraId="335E6B35">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5</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年发行新增地方政府债务</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119800</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万元，其中专项债务</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119800</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万元。资金</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主要</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用于市政基础设施、老旧小区改造、养老教育、农林水利、其他产业园基础设施等</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方面</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w:t>
      </w:r>
    </w:p>
    <w:p w14:paraId="0B9E34A2">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（六）地方政府债务情况</w:t>
      </w:r>
    </w:p>
    <w:p w14:paraId="6A837B6D">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按照预算法规定</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，对</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地方政府</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债务实行限额管理。经上级财政部门核定，2025年全区地方政府债务限额871106万元，其中一般债务97023万元、专项债务774083万元。截至2025年底，地方政府债务余额862659万元，其中一般债务余额94672万元、专项债务余额767987万元。</w:t>
      </w:r>
    </w:p>
    <w:p w14:paraId="37EFF7EB">
      <w:pPr>
        <w:keepNext w:val="0"/>
        <w:keepLines w:val="0"/>
        <w:pageBreakBefore w:val="0"/>
        <w:widowControl w:val="0"/>
        <w:kinsoku/>
        <w:wordWrap/>
        <w:overflowPunct/>
        <w:topLinePunct w:val="0"/>
        <w:autoSpaceDE/>
        <w:bidi w:val="0"/>
        <w:adjustRightInd/>
        <w:snapToGrid w:val="0"/>
        <w:spacing w:line="600" w:lineRule="exact"/>
        <w:ind w:left="0" w:right="0" w:rightChars="0" w:firstLine="640" w:firstLineChars="200"/>
        <w:jc w:val="both"/>
        <w:rPr>
          <w:rFonts w:hint="default" w:ascii="Times New Roman" w:hAnsi="Times New Roman" w:eastAsia="黑体" w:cs="Times New Roman"/>
          <w:b w:val="0"/>
          <w:bCs/>
          <w:color w:val="000000" w:themeColor="text1"/>
          <w:spacing w:val="0"/>
          <w:sz w:val="32"/>
          <w:szCs w:val="32"/>
          <w14:textFill>
            <w14:solidFill>
              <w14:schemeClr w14:val="tx1"/>
            </w14:solidFill>
          </w14:textFill>
        </w:rPr>
      </w:pPr>
      <w:r>
        <w:rPr>
          <w:rFonts w:hint="default" w:ascii="Times New Roman" w:hAnsi="Times New Roman" w:eastAsia="黑体" w:cs="Times New Roman"/>
          <w:b w:val="0"/>
          <w:bCs/>
          <w:color w:val="000000" w:themeColor="text1"/>
          <w:spacing w:val="0"/>
          <w:sz w:val="32"/>
          <w:szCs w:val="32"/>
          <w:lang w:val="en-US" w:eastAsia="zh-CN"/>
          <w14:textFill>
            <w14:solidFill>
              <w14:schemeClr w14:val="tx1"/>
            </w14:solidFill>
          </w14:textFill>
        </w:rPr>
        <w:t>二、</w:t>
      </w:r>
      <w:r>
        <w:rPr>
          <w:rFonts w:hint="default" w:ascii="Times New Roman" w:hAnsi="Times New Roman" w:eastAsia="黑体" w:cs="Times New Roman"/>
          <w:b w:val="0"/>
          <w:bCs/>
          <w:color w:val="000000" w:themeColor="text1"/>
          <w:spacing w:val="0"/>
          <w:sz w:val="32"/>
          <w:szCs w:val="32"/>
          <w14:textFill>
            <w14:solidFill>
              <w14:schemeClr w14:val="tx1"/>
            </w14:solidFill>
          </w14:textFill>
        </w:rPr>
        <w:t>202</w:t>
      </w:r>
      <w:r>
        <w:rPr>
          <w:rFonts w:hint="default" w:ascii="Times New Roman" w:hAnsi="Times New Roman" w:eastAsia="黑体" w:cs="Times New Roman"/>
          <w:b w:val="0"/>
          <w:bCs/>
          <w:color w:val="000000" w:themeColor="text1"/>
          <w:spacing w:val="0"/>
          <w:sz w:val="32"/>
          <w:szCs w:val="32"/>
          <w:lang w:val="en-US" w:eastAsia="zh-CN"/>
          <w14:textFill>
            <w14:solidFill>
              <w14:schemeClr w14:val="tx1"/>
            </w14:solidFill>
          </w14:textFill>
        </w:rPr>
        <w:t>5</w:t>
      </w:r>
      <w:r>
        <w:rPr>
          <w:rFonts w:hint="default" w:ascii="Times New Roman" w:hAnsi="Times New Roman" w:eastAsia="黑体" w:cs="Times New Roman"/>
          <w:b w:val="0"/>
          <w:bCs/>
          <w:color w:val="000000" w:themeColor="text1"/>
          <w:spacing w:val="0"/>
          <w:sz w:val="32"/>
          <w:szCs w:val="32"/>
          <w14:textFill>
            <w14:solidFill>
              <w14:schemeClr w14:val="tx1"/>
            </w14:solidFill>
          </w14:textFill>
        </w:rPr>
        <w:t>年重点财政工作情况</w:t>
      </w:r>
    </w:p>
    <w:p w14:paraId="4FCDFA6B">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2025年是实现“十四五”规划目标的收官之年。在区委的坚强领导下，全区财政工作坚持以习近平新时代中国特色社会主义思想为指导，围绕“增收、节支、防风险”主线，以增强财政保障能力为中心，坚持稳中求进工作总基调，知重负重、攻坚克难，有效应对经济形势趋紧带来的影响，有力保障了全区重大战略、重点任务、基层“三保”和基本民生等重点领域支出，较好完成了各项目标任务，为全区经济平稳健康发展提供了坚实的财政支撑。</w:t>
      </w:r>
    </w:p>
    <w:p w14:paraId="4FEE4FAD">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（一）应对减收压力，力保民生支出</w:t>
      </w:r>
    </w:p>
    <w:p w14:paraId="1348E8A5">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一是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扎实做好财税工作，落实积极财政政策，培育涵养可持续税源。充分发挥财税联动作用，强化税收征管，确保“颗粒归仓”。2025年，全区一般公共预算收入完成12.07亿元，同比下降4.7%；地方级税收收入完成10.1亿元，同比下降1.8%，税收占一般公共预算收入的比重为83.8%；非税收入完成1.95亿元，同比下降17.8%。</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二是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坚持以加强民生保障、增进民生福祉为原则，科学统筹财力，持续加大民生领域资金投入。2025年全区一般公共预算支出完成34.2亿元；民生支出完成28.6亿元，占一般公共预算支出的83.6%。</w:t>
      </w:r>
    </w:p>
    <w:p w14:paraId="7D1EFEE9">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（二）扛稳政治责任，竭力保障“三保”</w:t>
      </w:r>
    </w:p>
    <w:p w14:paraId="79824BF1">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一是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全力以赴保障“三保”。2025年浉河区“三保”保障压力巨大，区财政统筹全部可用资金，勉强完成省定任务。全年“三保”累计支出21.1亿元。</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二是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腾出财力保障“三保”。大力压减非刚性支出，2024年以来持续压减单位专项经费，其中2024年压减1.8亿元、压减比例为14.6%；2025年压减0.85亿元、压减比例为7%。全年完成各类评审项目138个，其中决算项目56个，总送审金额2.4亿元，总审定金额2.01亿元，总审减金额0.39亿元，综合审减率16.27%；预算项目82个，总送审金额5.80亿元，总审定金额4.49亿元，总审减金额1.31亿元，综合审减率22.51%。</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三是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盘活存量资金保障“三保”。完善资金收回机制，及时清理闲置沉淀资金、低效无效资金和预算结余资金，优先用于“三保”支出。</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四是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化解债务风险稳固“三保”根基。加强债务限额和预算管理，落实偿债责任，统筹财力化解风险。抓住债务置换机遇，发行低利率、长期限债券置换高息短期债务，减轻付息压力。2025年发行置换隐性债务债券2.16亿元、化解拖欠账款债券2.34亿元，推动债务规模逐步压缩，为集中财力优先保障“三保”创造了更为安全、可持续的财政环境。</w:t>
      </w:r>
    </w:p>
    <w:p w14:paraId="5BA93D19">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（三）聚力项目争资，夯实经济发展支撑</w:t>
      </w:r>
    </w:p>
    <w:p w14:paraId="4C7C375D">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一是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全力以赴跑项争资。积极研究国家、省、市政策导向，结合区情精准对接，上级指标累计接收29.1亿元，同比增长13.6%，其中重点生态功能区转移支付收入达1.07亿元。</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二是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精管债券稳促发展。紧盯政策“窗口期”，谋实项目“储备库”，2025年争取专项债券资金11.98亿元。同时，加强债券资金支出管理，加快项目建设，提高资金使用效益。</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三是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重点项目保障有力。有效保障了万家灯火消防整改、火车站南广场贯通、107国道外立面改造等一批重点项目的顺利实施。</w:t>
      </w:r>
    </w:p>
    <w:p w14:paraId="2719C39B">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（四）深化财政改革，提升预算管理效能</w:t>
      </w:r>
    </w:p>
    <w:p w14:paraId="7F47A725">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一是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深化预算一体化应用。强化预算编制，缩小政府预算、部门预算、“三保”支出偏离度；严格预算执行，确保账面收入、支出数据与一体化数据和月报数据一致；建立日常督促机制，及时回应单位诉求。</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二是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健全预算绩效管理体系。坚持“花钱必问效、无效必问责”，依托预算一体化系统，全面做好2025年度部门整体和项目绩效目标编制、审核、汇总和公开等工作。</w:t>
      </w:r>
    </w:p>
    <w:p w14:paraId="3288FD1A">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highlight w:val="yellow"/>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各位代表！过去一年，面对经济恢复不及预期、财政收入持续下滑的不利局面，财政部门迎难而上、奋力拼搏，确保了财政运行总体平稳，守住了不发生系统性风险的底线。但我们也清醒地认识到</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财政工作仍然</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面临严峻挑战</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一是支出压力巨大。</w:t>
      </w:r>
      <w:r>
        <w:rPr>
          <w:rFonts w:hint="default" w:ascii="Times New Roman" w:hAnsi="Times New Roman" w:eastAsia="仿宋_GB2312" w:cs="Times New Roman"/>
          <w:color w:val="000000" w:themeColor="text1"/>
          <w:spacing w:val="0"/>
          <w:kern w:val="0"/>
          <w:sz w:val="32"/>
          <w:szCs w:val="32"/>
          <w14:textFill>
            <w14:solidFill>
              <w14:schemeClr w14:val="tx1"/>
            </w14:solidFill>
          </w14:textFill>
        </w:rPr>
        <w:t>各类硬性支出</w:t>
      </w:r>
      <w:r>
        <w:rPr>
          <w:rFonts w:hint="default" w:ascii="Times New Roman" w:hAnsi="Times New Roman" w:eastAsia="仿宋_GB2312" w:cs="Times New Roman"/>
          <w:color w:val="000000" w:themeColor="text1"/>
          <w:spacing w:val="0"/>
          <w:kern w:val="0"/>
          <w:sz w:val="32"/>
          <w:szCs w:val="32"/>
          <w:lang w:eastAsia="zh-CN"/>
          <w14:textFill>
            <w14:solidFill>
              <w14:schemeClr w14:val="tx1"/>
            </w14:solidFill>
          </w14:textFill>
        </w:rPr>
        <w:t>刚性增长，</w:t>
      </w:r>
      <w:r>
        <w:rPr>
          <w:rFonts w:hint="default" w:ascii="Times New Roman" w:hAnsi="Times New Roman" w:eastAsia="仿宋_GB2312" w:cs="Times New Roman"/>
          <w:color w:val="000000" w:themeColor="text1"/>
          <w:spacing w:val="0"/>
          <w:kern w:val="0"/>
          <w:sz w:val="32"/>
          <w:szCs w:val="32"/>
          <w14:textFill>
            <w14:solidFill>
              <w14:schemeClr w14:val="tx1"/>
            </w14:solidFill>
          </w14:textFill>
        </w:rPr>
        <w:t>“三保”保障举步维艰。</w:t>
      </w: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二是收入增长乏力。</w:t>
      </w:r>
      <w:r>
        <w:rPr>
          <w:rFonts w:hint="default" w:ascii="Times New Roman" w:hAnsi="Times New Roman" w:eastAsia="仿宋_GB2312" w:cs="Times New Roman"/>
          <w:b w:val="0"/>
          <w:bCs w:val="0"/>
          <w:color w:val="000000" w:themeColor="text1"/>
          <w:spacing w:val="0"/>
          <w:kern w:val="0"/>
          <w:sz w:val="32"/>
          <w:szCs w:val="32"/>
          <w:lang w:eastAsia="zh-CN"/>
          <w14:textFill>
            <w14:solidFill>
              <w14:schemeClr w14:val="tx1"/>
            </w14:solidFill>
          </w14:textFill>
        </w:rPr>
        <w:t>主体税源持续减收，茶、旅等主导产业尚在培育，无法形成有效财源，</w:t>
      </w:r>
      <w:r>
        <w:rPr>
          <w:rFonts w:hint="default" w:ascii="Times New Roman" w:hAnsi="Times New Roman" w:eastAsia="仿宋_GB2312" w:cs="Times New Roman"/>
          <w:b w:val="0"/>
          <w:bCs w:val="0"/>
          <w:color w:val="000000" w:themeColor="text1"/>
          <w:spacing w:val="0"/>
          <w:kern w:val="0"/>
          <w:sz w:val="32"/>
          <w:szCs w:val="32"/>
          <w14:textFill>
            <w14:solidFill>
              <w14:schemeClr w14:val="tx1"/>
            </w14:solidFill>
          </w14:textFill>
        </w:rPr>
        <w:t>加之无法享受贫困县、苏区县的各项优惠政策，上级转移支付资金相较其他县区偏少。</w:t>
      </w: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三是</w:t>
      </w:r>
      <w:r>
        <w:rPr>
          <w:rFonts w:hint="default" w:ascii="Times New Roman" w:hAnsi="Times New Roman" w:eastAsia="仿宋_GB2312" w:cs="Times New Roman"/>
          <w:b/>
          <w:bCs/>
          <w:color w:val="000000" w:themeColor="text1"/>
          <w:spacing w:val="0"/>
          <w:kern w:val="0"/>
          <w:sz w:val="32"/>
          <w:szCs w:val="32"/>
          <w:lang w:eastAsia="zh-CN"/>
          <w14:textFill>
            <w14:solidFill>
              <w14:schemeClr w14:val="tx1"/>
            </w14:solidFill>
          </w14:textFill>
        </w:rPr>
        <w:t>债务风险防范仍需加力。</w:t>
      </w:r>
      <w:r>
        <w:rPr>
          <w:rFonts w:hint="default" w:ascii="Times New Roman" w:hAnsi="Times New Roman" w:eastAsia="仿宋_GB2312" w:cs="Times New Roman"/>
          <w:color w:val="000000" w:themeColor="text1"/>
          <w:spacing w:val="0"/>
          <w:kern w:val="0"/>
          <w:sz w:val="32"/>
          <w:szCs w:val="32"/>
          <w:lang w:eastAsia="zh-CN"/>
          <w14:textFill>
            <w14:solidFill>
              <w14:schemeClr w14:val="tx1"/>
            </w14:solidFill>
          </w14:textFill>
        </w:rPr>
        <w:t>政府债务和平台公司债务还本付息高峰期对财政稳平衡状态冲击较大，偿债压力骤增</w:t>
      </w:r>
      <w:r>
        <w:rPr>
          <w:rFonts w:hint="default" w:ascii="Times New Roman" w:hAnsi="Times New Roman" w:eastAsia="仿宋_GB2312" w:cs="Times New Roman"/>
          <w:color w:val="000000" w:themeColor="text1"/>
          <w:spacing w:val="0"/>
          <w:kern w:val="0"/>
          <w:sz w:val="32"/>
          <w:szCs w:val="32"/>
          <w14:textFill>
            <w14:solidFill>
              <w14:schemeClr w14:val="tx1"/>
            </w14:solidFill>
          </w14:textFill>
        </w:rPr>
        <w:t>。</w:t>
      </w:r>
    </w:p>
    <w:p w14:paraId="118A2259">
      <w:pPr>
        <w:keepNext w:val="0"/>
        <w:keepLines w:val="0"/>
        <w:pageBreakBefore w:val="0"/>
        <w:widowControl w:val="0"/>
        <w:kinsoku/>
        <w:wordWrap/>
        <w:overflowPunct/>
        <w:topLinePunct w:val="0"/>
        <w:autoSpaceDE/>
        <w:bidi w:val="0"/>
        <w:adjustRightInd/>
        <w:snapToGrid w:val="0"/>
        <w:spacing w:line="600" w:lineRule="exact"/>
        <w:ind w:left="0" w:right="0" w:rightChars="0" w:firstLine="640" w:firstLineChars="200"/>
        <w:jc w:val="both"/>
        <w:rPr>
          <w:rFonts w:hint="default" w:ascii="Times New Roman" w:hAnsi="Times New Roman" w:eastAsia="黑体" w:cs="Times New Roman"/>
          <w:b w:val="0"/>
          <w:bCs/>
          <w:color w:val="000000" w:themeColor="text1"/>
          <w:spacing w:val="0"/>
          <w:sz w:val="32"/>
          <w:szCs w:val="32"/>
          <w:lang w:eastAsia="zh-CN"/>
          <w14:textFill>
            <w14:solidFill>
              <w14:schemeClr w14:val="tx1"/>
            </w14:solidFill>
          </w14:textFill>
        </w:rPr>
      </w:pPr>
      <w:r>
        <w:rPr>
          <w:rFonts w:hint="default" w:ascii="Times New Roman" w:hAnsi="Times New Roman" w:eastAsia="黑体" w:cs="Times New Roman"/>
          <w:color w:val="000000" w:themeColor="text1"/>
          <w:spacing w:val="0"/>
          <w:kern w:val="0"/>
          <w:sz w:val="32"/>
          <w:szCs w:val="32"/>
          <w:lang w:val="en-US" w:eastAsia="zh-CN"/>
          <w14:textFill>
            <w14:solidFill>
              <w14:schemeClr w14:val="tx1"/>
            </w14:solidFill>
          </w14:textFill>
        </w:rPr>
        <w:t>三、</w:t>
      </w:r>
      <w:r>
        <w:rPr>
          <w:rFonts w:hint="default" w:ascii="Times New Roman" w:hAnsi="Times New Roman" w:eastAsia="黑体" w:cs="Times New Roman"/>
          <w:b w:val="0"/>
          <w:bCs/>
          <w:color w:val="000000" w:themeColor="text1"/>
          <w:spacing w:val="0"/>
          <w:sz w:val="32"/>
          <w:szCs w:val="32"/>
          <w14:textFill>
            <w14:solidFill>
              <w14:schemeClr w14:val="tx1"/>
            </w14:solidFill>
          </w14:textFill>
        </w:rPr>
        <w:t>202</w:t>
      </w:r>
      <w:r>
        <w:rPr>
          <w:rFonts w:hint="default" w:ascii="Times New Roman" w:hAnsi="Times New Roman" w:eastAsia="黑体" w:cs="Times New Roman"/>
          <w:b w:val="0"/>
          <w:bCs/>
          <w:color w:val="000000" w:themeColor="text1"/>
          <w:spacing w:val="0"/>
          <w:sz w:val="32"/>
          <w:szCs w:val="32"/>
          <w:lang w:val="en-US" w:eastAsia="zh-CN"/>
          <w14:textFill>
            <w14:solidFill>
              <w14:schemeClr w14:val="tx1"/>
            </w14:solidFill>
          </w14:textFill>
        </w:rPr>
        <w:t>6</w:t>
      </w:r>
      <w:r>
        <w:rPr>
          <w:rFonts w:hint="default" w:ascii="Times New Roman" w:hAnsi="Times New Roman" w:eastAsia="黑体" w:cs="Times New Roman"/>
          <w:b w:val="0"/>
          <w:bCs/>
          <w:color w:val="000000" w:themeColor="text1"/>
          <w:spacing w:val="0"/>
          <w:sz w:val="32"/>
          <w:szCs w:val="32"/>
          <w14:textFill>
            <w14:solidFill>
              <w14:schemeClr w14:val="tx1"/>
            </w14:solidFill>
          </w14:textFill>
        </w:rPr>
        <w:t>年重点财政工作</w:t>
      </w:r>
      <w:r>
        <w:rPr>
          <w:rFonts w:hint="default" w:ascii="Times New Roman" w:hAnsi="Times New Roman" w:eastAsia="黑体" w:cs="Times New Roman"/>
          <w:b w:val="0"/>
          <w:bCs/>
          <w:color w:val="000000" w:themeColor="text1"/>
          <w:spacing w:val="0"/>
          <w:sz w:val="32"/>
          <w:szCs w:val="32"/>
          <w:lang w:eastAsia="zh-CN"/>
          <w14:textFill>
            <w14:solidFill>
              <w14:schemeClr w14:val="tx1"/>
            </w14:solidFill>
          </w14:textFill>
        </w:rPr>
        <w:t>规划</w:t>
      </w:r>
    </w:p>
    <w:p w14:paraId="6E2CB4FB">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2026年是</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十五五</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规划开局之年，做好</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财政</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工作意义重大</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财政</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部门</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将紧扣</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十五五</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开局起步要求，</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全面贯彻落实中央、省委、市委、区委经济工作会议精神，</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坚持稳中求进、提质增效，围绕</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稳、进、效</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协同发力</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，为奋力谱写“两个更好”新篇章、打造豫南开放门户和老区发展排头兵提供坚实财政保障。</w:t>
      </w:r>
      <w:r>
        <w:rPr>
          <w:rFonts w:hint="default" w:ascii="Times New Roman" w:hAnsi="Times New Roman" w:eastAsia="仿宋_GB2312" w:cs="Times New Roman"/>
          <w:b/>
          <w:bCs/>
          <w:i w:val="0"/>
          <w:iCs w:val="0"/>
          <w:caps w:val="0"/>
          <w:snapToGrid/>
          <w:color w:val="auto"/>
          <w:spacing w:val="0"/>
          <w:kern w:val="2"/>
          <w:sz w:val="32"/>
          <w:szCs w:val="32"/>
          <w:shd w:val="clear" w:fill="FFFFFF"/>
          <w:lang w:bidi="ar-SA"/>
        </w:rPr>
        <w:t>立足于</w:t>
      </w:r>
      <w:r>
        <w:rPr>
          <w:rFonts w:hint="default" w:ascii="Times New Roman" w:hAnsi="Times New Roman" w:eastAsia="仿宋_GB2312" w:cs="Times New Roman"/>
          <w:b/>
          <w:bCs/>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b/>
          <w:bCs/>
          <w:i w:val="0"/>
          <w:iCs w:val="0"/>
          <w:caps w:val="0"/>
          <w:snapToGrid/>
          <w:color w:val="auto"/>
          <w:spacing w:val="0"/>
          <w:kern w:val="2"/>
          <w:sz w:val="32"/>
          <w:szCs w:val="32"/>
          <w:shd w:val="clear" w:fill="FFFFFF"/>
          <w:lang w:bidi="ar-SA"/>
        </w:rPr>
        <w:t>稳</w:t>
      </w:r>
      <w:r>
        <w:rPr>
          <w:rFonts w:hint="default" w:ascii="Times New Roman" w:hAnsi="Times New Roman" w:eastAsia="仿宋_GB2312" w:cs="Times New Roman"/>
          <w:b/>
          <w:bCs/>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，全力稳固财源、保障重点支出、严密防控债务风险，筑牢发展安全底</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线，确保经济运行稳增长；</w:t>
      </w:r>
      <w:r>
        <w:rPr>
          <w:rFonts w:hint="default" w:ascii="Times New Roman" w:hAnsi="Times New Roman" w:eastAsia="仿宋_GB2312" w:cs="Times New Roman"/>
          <w:b/>
          <w:bCs/>
          <w:i w:val="0"/>
          <w:iCs w:val="0"/>
          <w:caps w:val="0"/>
          <w:snapToGrid/>
          <w:color w:val="auto"/>
          <w:spacing w:val="0"/>
          <w:kern w:val="2"/>
          <w:sz w:val="32"/>
          <w:szCs w:val="32"/>
          <w:shd w:val="clear" w:fill="FFFFFF"/>
          <w:lang w:bidi="ar-SA"/>
        </w:rPr>
        <w:t>着眼于</w:t>
      </w:r>
      <w:r>
        <w:rPr>
          <w:rFonts w:hint="default" w:ascii="Times New Roman" w:hAnsi="Times New Roman" w:eastAsia="仿宋_GB2312" w:cs="Times New Roman"/>
          <w:b/>
          <w:bCs/>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b/>
          <w:bCs/>
          <w:i w:val="0"/>
          <w:iCs w:val="0"/>
          <w:caps w:val="0"/>
          <w:snapToGrid/>
          <w:color w:val="auto"/>
          <w:spacing w:val="0"/>
          <w:kern w:val="2"/>
          <w:sz w:val="32"/>
          <w:szCs w:val="32"/>
          <w:shd w:val="clear" w:fill="FFFFFF"/>
          <w:lang w:bidi="ar-SA"/>
        </w:rPr>
        <w:t>进</w:t>
      </w:r>
      <w:r>
        <w:rPr>
          <w:rFonts w:hint="default" w:ascii="Times New Roman" w:hAnsi="Times New Roman" w:eastAsia="仿宋_GB2312" w:cs="Times New Roman"/>
          <w:b/>
          <w:bCs/>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紧扣我区文茶旅主导产业，集中财力支持文旅深度融合、茶产业链升级、文旅品牌打造及配套基础设施建设。综合运用产业基金、贷款贴息、以奖代补等政策工具，引导社会资本投入，培育壮大特色税源</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w:t>
      </w:r>
      <w:r>
        <w:rPr>
          <w:rFonts w:hint="default" w:ascii="Times New Roman" w:hAnsi="Times New Roman" w:eastAsia="仿宋_GB2312" w:cs="Times New Roman"/>
          <w:b/>
          <w:bCs/>
          <w:i w:val="0"/>
          <w:iCs w:val="0"/>
          <w:caps w:val="0"/>
          <w:snapToGrid/>
          <w:color w:val="auto"/>
          <w:spacing w:val="0"/>
          <w:kern w:val="2"/>
          <w:sz w:val="32"/>
          <w:szCs w:val="32"/>
          <w:shd w:val="clear" w:fill="FFFFFF"/>
          <w:lang w:bidi="ar-SA"/>
        </w:rPr>
        <w:t>落脚于</w:t>
      </w:r>
      <w:r>
        <w:rPr>
          <w:rFonts w:hint="default" w:ascii="Times New Roman" w:hAnsi="Times New Roman" w:eastAsia="仿宋_GB2312" w:cs="Times New Roman"/>
          <w:b/>
          <w:bCs/>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b/>
          <w:bCs/>
          <w:i w:val="0"/>
          <w:iCs w:val="0"/>
          <w:caps w:val="0"/>
          <w:snapToGrid/>
          <w:color w:val="auto"/>
          <w:spacing w:val="0"/>
          <w:kern w:val="2"/>
          <w:sz w:val="32"/>
          <w:szCs w:val="32"/>
          <w:shd w:val="clear" w:fill="FFFFFF"/>
          <w:lang w:bidi="ar-SA"/>
        </w:rPr>
        <w:t>效</w:t>
      </w:r>
      <w:r>
        <w:rPr>
          <w:rFonts w:hint="default" w:ascii="Times New Roman" w:hAnsi="Times New Roman" w:eastAsia="仿宋_GB2312" w:cs="Times New Roman"/>
          <w:b/>
          <w:bCs/>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牢固“过紧日子”思想，</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将深化预算绩效管理、推进零基预算改革、健全现代预算制度，全面提升财政资源配置效率和资金使用效益。</w:t>
      </w:r>
    </w:p>
    <w:p w14:paraId="046FDA1C">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zh-CN" w:eastAsia="zh-CN" w:bidi="ar-SA"/>
        </w:rPr>
      </w:pPr>
      <w:r>
        <w:rPr>
          <w:rFonts w:hint="default" w:ascii="Times New Roman" w:hAnsi="Times New Roman" w:eastAsia="楷体_GB2312" w:cs="Times New Roman"/>
          <w:b/>
          <w:bCs/>
          <w:snapToGrid/>
          <w:kern w:val="2"/>
          <w:sz w:val="32"/>
          <w:szCs w:val="32"/>
          <w:lang w:val="zh-CN" w:eastAsia="zh-CN" w:bidi="ar-SA"/>
        </w:rPr>
        <w:t>（</w:t>
      </w:r>
      <w:r>
        <w:rPr>
          <w:rFonts w:hint="default" w:ascii="Times New Roman" w:hAnsi="Times New Roman" w:eastAsia="楷体_GB2312" w:cs="Times New Roman"/>
          <w:b/>
          <w:bCs/>
          <w:snapToGrid/>
          <w:kern w:val="2"/>
          <w:sz w:val="32"/>
          <w:szCs w:val="32"/>
          <w:lang w:val="en-US" w:eastAsia="zh-CN" w:bidi="ar-SA"/>
        </w:rPr>
        <w:t>一</w:t>
      </w:r>
      <w:r>
        <w:rPr>
          <w:rFonts w:hint="default" w:ascii="Times New Roman" w:hAnsi="Times New Roman" w:eastAsia="楷体_GB2312" w:cs="Times New Roman"/>
          <w:b/>
          <w:bCs/>
          <w:snapToGrid/>
          <w:kern w:val="2"/>
          <w:sz w:val="32"/>
          <w:szCs w:val="32"/>
          <w:lang w:val="zh-CN" w:eastAsia="zh-CN" w:bidi="ar-SA"/>
        </w:rPr>
        <w:t>）一般公共预算</w:t>
      </w:r>
    </w:p>
    <w:p w14:paraId="5BEEE8B1">
      <w:pPr>
        <w:keepNext w:val="0"/>
        <w:keepLines w:val="0"/>
        <w:pageBreakBefore w:val="0"/>
        <w:widowControl w:val="0"/>
        <w:kinsoku/>
        <w:wordWrap/>
        <w:overflowPunct/>
        <w:topLinePunct w:val="0"/>
        <w:autoSpaceDE/>
        <w:bidi w:val="0"/>
        <w:adjustRightInd/>
        <w:snapToGrid w:val="0"/>
        <w:spacing w:line="600" w:lineRule="exact"/>
        <w:ind w:left="0" w:right="0" w:rightChars="0" w:firstLine="643" w:firstLineChars="200"/>
        <w:jc w:val="both"/>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pP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●收入情况</w:t>
      </w:r>
    </w:p>
    <w:p w14:paraId="4DCD510A">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年，全区一般公共预算收入预计</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完成125540</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同比增长4</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其中税收收入预计完成106808万元，同比增长5.6%；非税收入预计完成18732万元，同比下降4.4%。</w:t>
      </w:r>
    </w:p>
    <w:p w14:paraId="19BDBD40">
      <w:pPr>
        <w:keepNext w:val="0"/>
        <w:keepLines w:val="0"/>
        <w:pageBreakBefore w:val="0"/>
        <w:widowControl w:val="0"/>
        <w:kinsoku/>
        <w:wordWrap/>
        <w:overflowPunct/>
        <w:topLinePunct w:val="0"/>
        <w:autoSpaceDE/>
        <w:autoSpaceDN w:val="0"/>
        <w:bidi w:val="0"/>
        <w:adjustRightInd/>
        <w:snapToGrid w:val="0"/>
        <w:spacing w:line="600" w:lineRule="exact"/>
        <w:ind w:left="0" w:right="0" w:rightChars="0" w:firstLine="643" w:firstLineChars="200"/>
        <w:jc w:val="both"/>
        <w:textAlignment w:val="baseline"/>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pP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●上级转移支付情况</w:t>
      </w:r>
    </w:p>
    <w:p w14:paraId="52402153">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年，上级补助收入</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预计完成235165</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万元。其中返还</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性</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收入18301万元，一般性转移支付收入</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196264</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万元，专项转移支付收入</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20600</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w:t>
      </w:r>
    </w:p>
    <w:p w14:paraId="2EDA27AB">
      <w:pPr>
        <w:keepNext w:val="0"/>
        <w:keepLines w:val="0"/>
        <w:pageBreakBefore w:val="0"/>
        <w:widowControl w:val="0"/>
        <w:kinsoku/>
        <w:wordWrap/>
        <w:overflowPunct/>
        <w:topLinePunct w:val="0"/>
        <w:autoSpaceDE/>
        <w:bidi w:val="0"/>
        <w:adjustRightInd/>
        <w:snapToGrid w:val="0"/>
        <w:spacing w:line="600" w:lineRule="exact"/>
        <w:ind w:left="0" w:right="0" w:rightChars="0" w:firstLine="643" w:firstLineChars="200"/>
        <w:jc w:val="both"/>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pP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●支出情况</w:t>
      </w:r>
    </w:p>
    <w:p w14:paraId="19477E43">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年，全区一般公共预算支出</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预计完成350381</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w:t>
      </w:r>
    </w:p>
    <w:p w14:paraId="04D1E518">
      <w:pPr>
        <w:keepNext w:val="0"/>
        <w:keepLines w:val="0"/>
        <w:pageBreakBefore w:val="0"/>
        <w:widowControl w:val="0"/>
        <w:kinsoku/>
        <w:wordWrap/>
        <w:overflowPunct/>
        <w:topLinePunct w:val="0"/>
        <w:autoSpaceDE/>
        <w:autoSpaceDN w:val="0"/>
        <w:bidi w:val="0"/>
        <w:adjustRightInd/>
        <w:snapToGrid w:val="0"/>
        <w:spacing w:line="600" w:lineRule="exact"/>
        <w:ind w:left="0" w:right="0" w:rightChars="0" w:firstLine="643" w:firstLineChars="200"/>
        <w:jc w:val="both"/>
        <w:textAlignment w:val="baseline"/>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pPr>
      <w:r>
        <w:rPr>
          <w:rFonts w:hint="default" w:ascii="Times New Roman" w:hAnsi="Times New Roman" w:eastAsia="仿宋_GB2312" w:cs="Times New Roman"/>
          <w:b/>
          <w:color w:val="000000" w:themeColor="text1"/>
          <w:spacing w:val="0"/>
          <w:kern w:val="0"/>
          <w:sz w:val="32"/>
          <w:szCs w:val="32"/>
          <w14:textFill>
            <w14:solidFill>
              <w14:schemeClr w14:val="tx1"/>
            </w14:solidFill>
          </w14:textFill>
        </w:rPr>
        <w:t>●</w:t>
      </w: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收支平衡情况</w:t>
      </w:r>
    </w:p>
    <w:p w14:paraId="29254ACF">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年，公共财政预算收入</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预计完成467494</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公共财政预算支出预计完成467494</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收支平衡。</w:t>
      </w:r>
    </w:p>
    <w:p w14:paraId="4F912F50">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zh-CN" w:eastAsia="zh-CN" w:bidi="ar-SA"/>
        </w:rPr>
      </w:pPr>
      <w:r>
        <w:rPr>
          <w:rFonts w:hint="default" w:ascii="Times New Roman" w:hAnsi="Times New Roman" w:eastAsia="楷体_GB2312" w:cs="Times New Roman"/>
          <w:b/>
          <w:bCs/>
          <w:snapToGrid/>
          <w:kern w:val="2"/>
          <w:sz w:val="32"/>
          <w:szCs w:val="32"/>
          <w:lang w:val="zh-CN" w:eastAsia="zh-CN" w:bidi="ar-SA"/>
        </w:rPr>
        <w:t>（</w:t>
      </w:r>
      <w:r>
        <w:rPr>
          <w:rFonts w:hint="default" w:ascii="Times New Roman" w:hAnsi="Times New Roman" w:eastAsia="楷体_GB2312" w:cs="Times New Roman"/>
          <w:b/>
          <w:bCs/>
          <w:snapToGrid/>
          <w:kern w:val="2"/>
          <w:sz w:val="32"/>
          <w:szCs w:val="32"/>
          <w:lang w:val="en-US" w:eastAsia="zh-CN" w:bidi="ar-SA"/>
        </w:rPr>
        <w:t>二</w:t>
      </w:r>
      <w:r>
        <w:rPr>
          <w:rFonts w:hint="default" w:ascii="Times New Roman" w:hAnsi="Times New Roman" w:eastAsia="楷体_GB2312" w:cs="Times New Roman"/>
          <w:b/>
          <w:bCs/>
          <w:snapToGrid/>
          <w:kern w:val="2"/>
          <w:sz w:val="32"/>
          <w:szCs w:val="32"/>
          <w:lang w:val="zh-CN" w:eastAsia="zh-CN" w:bidi="ar-SA"/>
        </w:rPr>
        <w:t>）政府性基金预算</w:t>
      </w:r>
    </w:p>
    <w:p w14:paraId="3E89A418">
      <w:pPr>
        <w:keepNext w:val="0"/>
        <w:keepLines w:val="0"/>
        <w:pageBreakBefore w:val="0"/>
        <w:widowControl w:val="0"/>
        <w:kinsoku/>
        <w:wordWrap/>
        <w:overflowPunct/>
        <w:topLinePunct w:val="0"/>
        <w:autoSpaceDE/>
        <w:bidi w:val="0"/>
        <w:adjustRightInd/>
        <w:snapToGrid w:val="0"/>
        <w:spacing w:line="600" w:lineRule="exact"/>
        <w:ind w:left="0" w:right="0" w:rightChars="0" w:firstLine="643" w:firstLineChars="200"/>
        <w:jc w:val="both"/>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pP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●收入情况</w:t>
      </w:r>
    </w:p>
    <w:p w14:paraId="200C64C3">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年，全区政府性基金预算收入</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预计完成4030</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主要是专项债务对应项目专项收入3629万元、城市基础设施配套费收入401万元</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w:t>
      </w:r>
    </w:p>
    <w:p w14:paraId="23D647F6">
      <w:pPr>
        <w:keepNext w:val="0"/>
        <w:keepLines w:val="0"/>
        <w:pageBreakBefore w:val="0"/>
        <w:widowControl w:val="0"/>
        <w:kinsoku/>
        <w:wordWrap/>
        <w:overflowPunct/>
        <w:topLinePunct w:val="0"/>
        <w:autoSpaceDE/>
        <w:autoSpaceDN w:val="0"/>
        <w:bidi w:val="0"/>
        <w:adjustRightInd/>
        <w:snapToGrid w:val="0"/>
        <w:spacing w:line="600" w:lineRule="exact"/>
        <w:ind w:left="0" w:right="0" w:rightChars="0" w:firstLine="643" w:firstLineChars="200"/>
        <w:jc w:val="both"/>
        <w:textAlignment w:val="baseline"/>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pP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●上级转移支付情况</w:t>
      </w:r>
    </w:p>
    <w:p w14:paraId="4A4861DA">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政府性基金专项转移支付收入</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预计完成40366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w:t>
      </w:r>
    </w:p>
    <w:p w14:paraId="288EF6F5">
      <w:pPr>
        <w:keepNext w:val="0"/>
        <w:keepLines w:val="0"/>
        <w:pageBreakBefore w:val="0"/>
        <w:widowControl w:val="0"/>
        <w:kinsoku/>
        <w:wordWrap/>
        <w:overflowPunct/>
        <w:topLinePunct w:val="0"/>
        <w:autoSpaceDE/>
        <w:autoSpaceDN w:val="0"/>
        <w:bidi w:val="0"/>
        <w:adjustRightInd/>
        <w:snapToGrid w:val="0"/>
        <w:spacing w:line="600" w:lineRule="exact"/>
        <w:ind w:left="0" w:right="0" w:rightChars="0" w:firstLine="643" w:firstLineChars="200"/>
        <w:jc w:val="both"/>
        <w:textAlignment w:val="baseline"/>
        <w:rPr>
          <w:rFonts w:hint="default" w:ascii="Times New Roman" w:hAnsi="Times New Roman" w:eastAsia="仿宋_GB2312" w:cs="Times New Roman"/>
          <w:b/>
          <w:bCs/>
          <w:color w:val="000000" w:themeColor="text1"/>
          <w:spacing w:val="0"/>
          <w:kern w:val="0"/>
          <w:sz w:val="32"/>
          <w:szCs w:val="32"/>
          <w:u w:val="none"/>
          <w14:textFill>
            <w14:solidFill>
              <w14:schemeClr w14:val="tx1"/>
            </w14:solidFill>
          </w14:textFill>
        </w:rPr>
      </w:pPr>
      <w:r>
        <w:rPr>
          <w:rFonts w:hint="default" w:ascii="Times New Roman" w:hAnsi="Times New Roman" w:eastAsia="仿宋_GB2312" w:cs="Times New Roman"/>
          <w:b/>
          <w:bCs/>
          <w:color w:val="000000" w:themeColor="text1"/>
          <w:spacing w:val="0"/>
          <w:kern w:val="0"/>
          <w:sz w:val="32"/>
          <w:szCs w:val="32"/>
          <w:u w:val="none"/>
          <w14:textFill>
            <w14:solidFill>
              <w14:schemeClr w14:val="tx1"/>
            </w14:solidFill>
          </w14:textFill>
        </w:rPr>
        <w:t>●支出情况</w:t>
      </w:r>
    </w:p>
    <w:p w14:paraId="48030CFA">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年，政府性基金预算支出</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预计完成81774</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w:t>
      </w:r>
    </w:p>
    <w:p w14:paraId="044CAE4D">
      <w:pPr>
        <w:keepNext w:val="0"/>
        <w:keepLines w:val="0"/>
        <w:pageBreakBefore w:val="0"/>
        <w:widowControl w:val="0"/>
        <w:kinsoku/>
        <w:wordWrap/>
        <w:overflowPunct/>
        <w:topLinePunct w:val="0"/>
        <w:autoSpaceDE/>
        <w:autoSpaceDN w:val="0"/>
        <w:bidi w:val="0"/>
        <w:adjustRightInd/>
        <w:snapToGrid w:val="0"/>
        <w:spacing w:line="600" w:lineRule="exact"/>
        <w:ind w:left="0" w:right="0" w:rightChars="0" w:firstLine="643" w:firstLineChars="200"/>
        <w:jc w:val="both"/>
        <w:textAlignment w:val="baseline"/>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pPr>
      <w:r>
        <w:rPr>
          <w:rFonts w:hint="default" w:ascii="Times New Roman" w:hAnsi="Times New Roman" w:eastAsia="仿宋_GB2312" w:cs="Times New Roman"/>
          <w:b/>
          <w:color w:val="000000" w:themeColor="text1"/>
          <w:spacing w:val="0"/>
          <w:kern w:val="0"/>
          <w:sz w:val="32"/>
          <w:szCs w:val="32"/>
          <w14:textFill>
            <w14:solidFill>
              <w14:schemeClr w14:val="tx1"/>
            </w14:solidFill>
          </w14:textFill>
        </w:rPr>
        <w:t>●</w:t>
      </w: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收支平衡情况</w:t>
      </w:r>
    </w:p>
    <w:p w14:paraId="786DECDA">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年，政府性基金</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预算</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收入</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预计完成192246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政府性基金预算支出</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预计完成192246万元，</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收支平衡。</w:t>
      </w:r>
    </w:p>
    <w:p w14:paraId="2D4B8A60">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zh-CN" w:eastAsia="zh-CN" w:bidi="ar-SA"/>
        </w:rPr>
      </w:pPr>
      <w:r>
        <w:rPr>
          <w:rFonts w:hint="default" w:ascii="Times New Roman" w:hAnsi="Times New Roman" w:eastAsia="楷体_GB2312" w:cs="Times New Roman"/>
          <w:b/>
          <w:bCs/>
          <w:snapToGrid/>
          <w:kern w:val="2"/>
          <w:sz w:val="32"/>
          <w:szCs w:val="32"/>
          <w:lang w:val="zh-CN" w:eastAsia="zh-CN" w:bidi="ar-SA"/>
        </w:rPr>
        <w:t>（</w:t>
      </w:r>
      <w:r>
        <w:rPr>
          <w:rFonts w:hint="default" w:ascii="Times New Roman" w:hAnsi="Times New Roman" w:eastAsia="楷体_GB2312" w:cs="Times New Roman"/>
          <w:b/>
          <w:bCs/>
          <w:snapToGrid/>
          <w:kern w:val="2"/>
          <w:sz w:val="32"/>
          <w:szCs w:val="32"/>
          <w:lang w:val="en-US" w:eastAsia="zh-CN" w:bidi="ar-SA"/>
        </w:rPr>
        <w:t>三</w:t>
      </w:r>
      <w:r>
        <w:rPr>
          <w:rFonts w:hint="default" w:ascii="Times New Roman" w:hAnsi="Times New Roman" w:eastAsia="楷体_GB2312" w:cs="Times New Roman"/>
          <w:b/>
          <w:bCs/>
          <w:snapToGrid/>
          <w:kern w:val="2"/>
          <w:sz w:val="32"/>
          <w:szCs w:val="32"/>
          <w:lang w:val="zh-CN" w:eastAsia="zh-CN" w:bidi="ar-SA"/>
        </w:rPr>
        <w:t>）国有资本经营预算</w:t>
      </w:r>
    </w:p>
    <w:p w14:paraId="4DDDD951">
      <w:pPr>
        <w:keepNext w:val="0"/>
        <w:keepLines w:val="0"/>
        <w:pageBreakBefore w:val="0"/>
        <w:widowControl w:val="0"/>
        <w:kinsoku/>
        <w:wordWrap/>
        <w:overflowPunct/>
        <w:topLinePunct w:val="0"/>
        <w:autoSpaceDE/>
        <w:autoSpaceDN w:val="0"/>
        <w:bidi w:val="0"/>
        <w:adjustRightInd/>
        <w:snapToGrid w:val="0"/>
        <w:spacing w:line="600" w:lineRule="exact"/>
        <w:ind w:left="0" w:right="0" w:rightChars="0" w:firstLine="643" w:firstLineChars="200"/>
        <w:jc w:val="both"/>
        <w:textAlignment w:val="baseline"/>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pPr>
      <w:r>
        <w:rPr>
          <w:rFonts w:hint="default" w:ascii="Times New Roman" w:hAnsi="Times New Roman" w:eastAsia="仿宋_GB2312" w:cs="Times New Roman"/>
          <w:b/>
          <w:color w:val="000000" w:themeColor="text1"/>
          <w:spacing w:val="0"/>
          <w:kern w:val="0"/>
          <w:sz w:val="32"/>
          <w:szCs w:val="32"/>
          <w14:textFill>
            <w14:solidFill>
              <w14:schemeClr w14:val="tx1"/>
            </w14:solidFill>
          </w14:textFill>
        </w:rPr>
        <w:t>●</w:t>
      </w: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收入情况</w:t>
      </w:r>
    </w:p>
    <w:p w14:paraId="7F92D363">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2026年，国有资本经营预算收入预计完成360万元，主要是上级下达的国有企业退休人员社会化管理补助资金186万元。</w:t>
      </w:r>
    </w:p>
    <w:p w14:paraId="10FB0D5F">
      <w:pPr>
        <w:keepNext w:val="0"/>
        <w:keepLines w:val="0"/>
        <w:pageBreakBefore w:val="0"/>
        <w:widowControl w:val="0"/>
        <w:kinsoku/>
        <w:wordWrap/>
        <w:overflowPunct/>
        <w:topLinePunct w:val="0"/>
        <w:autoSpaceDE/>
        <w:autoSpaceDN w:val="0"/>
        <w:bidi w:val="0"/>
        <w:adjustRightInd/>
        <w:snapToGrid w:val="0"/>
        <w:spacing w:line="600" w:lineRule="exact"/>
        <w:ind w:left="0" w:right="0" w:rightChars="0" w:firstLine="643" w:firstLineChars="200"/>
        <w:jc w:val="both"/>
        <w:textAlignment w:val="baseline"/>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pPr>
      <w:r>
        <w:rPr>
          <w:rFonts w:hint="default" w:ascii="Times New Roman" w:hAnsi="Times New Roman" w:eastAsia="仿宋_GB2312" w:cs="Times New Roman"/>
          <w:b/>
          <w:color w:val="000000" w:themeColor="text1"/>
          <w:spacing w:val="0"/>
          <w:kern w:val="0"/>
          <w:sz w:val="32"/>
          <w:szCs w:val="32"/>
          <w14:textFill>
            <w14:solidFill>
              <w14:schemeClr w14:val="tx1"/>
            </w14:solidFill>
          </w14:textFill>
        </w:rPr>
        <w:t>●</w:t>
      </w: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支出情况</w:t>
      </w:r>
    </w:p>
    <w:p w14:paraId="0A315EAC">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2026年，国有资本经营预算支出预计完成360万元</w:t>
      </w:r>
      <w:r>
        <w:rPr>
          <w:rFonts w:hint="default" w:ascii="Times New Roman" w:hAnsi="Times New Roman" w:eastAsia="仿宋_GB2312" w:cs="Times New Roman"/>
          <w:i w:val="0"/>
          <w:iCs w:val="0"/>
          <w:caps w:val="0"/>
          <w:snapToGrid/>
          <w:color w:val="auto"/>
          <w:spacing w:val="0"/>
          <w:kern w:val="2"/>
          <w:sz w:val="32"/>
          <w:szCs w:val="32"/>
          <w:shd w:val="clear" w:fill="FFFFFF"/>
          <w:lang w:eastAsia="zh-CN" w:bidi="ar-SA"/>
        </w:rPr>
        <w:t>。</w:t>
      </w:r>
    </w:p>
    <w:p w14:paraId="4FE5B6E0">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zh-CN" w:eastAsia="zh-CN" w:bidi="ar-SA"/>
        </w:rPr>
      </w:pPr>
      <w:r>
        <w:rPr>
          <w:rFonts w:hint="default" w:ascii="Times New Roman" w:hAnsi="Times New Roman" w:eastAsia="楷体_GB2312" w:cs="Times New Roman"/>
          <w:b/>
          <w:bCs/>
          <w:snapToGrid/>
          <w:kern w:val="2"/>
          <w:sz w:val="32"/>
          <w:szCs w:val="32"/>
          <w:lang w:val="zh-CN" w:eastAsia="zh-CN" w:bidi="ar-SA"/>
        </w:rPr>
        <w:t>（</w:t>
      </w:r>
      <w:r>
        <w:rPr>
          <w:rFonts w:hint="default" w:ascii="Times New Roman" w:hAnsi="Times New Roman" w:eastAsia="楷体_GB2312" w:cs="Times New Roman"/>
          <w:b/>
          <w:bCs/>
          <w:snapToGrid/>
          <w:kern w:val="2"/>
          <w:sz w:val="32"/>
          <w:szCs w:val="32"/>
          <w:lang w:val="en-US" w:eastAsia="zh-CN" w:bidi="ar-SA"/>
        </w:rPr>
        <w:t>四</w:t>
      </w:r>
      <w:r>
        <w:rPr>
          <w:rFonts w:hint="default" w:ascii="Times New Roman" w:hAnsi="Times New Roman" w:eastAsia="楷体_GB2312" w:cs="Times New Roman"/>
          <w:b/>
          <w:bCs/>
          <w:snapToGrid/>
          <w:kern w:val="2"/>
          <w:sz w:val="32"/>
          <w:szCs w:val="32"/>
          <w:lang w:val="zh-CN" w:eastAsia="zh-CN" w:bidi="ar-SA"/>
        </w:rPr>
        <w:t>）社会保险基金预算</w:t>
      </w:r>
    </w:p>
    <w:p w14:paraId="5E906B52">
      <w:pPr>
        <w:keepNext w:val="0"/>
        <w:keepLines w:val="0"/>
        <w:pageBreakBefore w:val="0"/>
        <w:widowControl w:val="0"/>
        <w:kinsoku/>
        <w:wordWrap/>
        <w:overflowPunct/>
        <w:topLinePunct w:val="0"/>
        <w:autoSpaceDE/>
        <w:bidi w:val="0"/>
        <w:adjustRightInd/>
        <w:snapToGrid w:val="0"/>
        <w:spacing w:line="600" w:lineRule="exact"/>
        <w:ind w:left="0" w:right="0" w:rightChars="0" w:firstLine="643" w:firstLineChars="200"/>
        <w:jc w:val="both"/>
        <w:rPr>
          <w:rFonts w:hint="default" w:ascii="Times New Roman" w:hAnsi="Times New Roman" w:eastAsia="仿宋_GB2312" w:cs="Times New Roman"/>
          <w:b/>
          <w:color w:val="000000" w:themeColor="text1"/>
          <w:spacing w:val="0"/>
          <w:kern w:val="0"/>
          <w:sz w:val="32"/>
          <w:szCs w:val="32"/>
          <w14:textFill>
            <w14:solidFill>
              <w14:schemeClr w14:val="tx1"/>
            </w14:solidFill>
          </w14:textFill>
        </w:rPr>
      </w:pP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●收入情况</w:t>
      </w:r>
    </w:p>
    <w:p w14:paraId="27F9B02F">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年，社会保险基金预算收入</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预计完成31366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w:t>
      </w:r>
    </w:p>
    <w:p w14:paraId="1D2E5EBD">
      <w:pPr>
        <w:keepNext w:val="0"/>
        <w:keepLines w:val="0"/>
        <w:pageBreakBefore w:val="0"/>
        <w:widowControl w:val="0"/>
        <w:kinsoku/>
        <w:wordWrap/>
        <w:overflowPunct/>
        <w:topLinePunct w:val="0"/>
        <w:autoSpaceDE/>
        <w:bidi w:val="0"/>
        <w:adjustRightInd/>
        <w:snapToGrid w:val="0"/>
        <w:spacing w:line="600" w:lineRule="exact"/>
        <w:ind w:left="0" w:right="0" w:rightChars="0" w:firstLine="643" w:firstLineChars="200"/>
        <w:jc w:val="both"/>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pPr>
      <w:r>
        <w:rPr>
          <w:rFonts w:hint="default" w:ascii="Times New Roman" w:hAnsi="Times New Roman" w:eastAsia="仿宋_GB2312" w:cs="Times New Roman"/>
          <w:b/>
          <w:bCs/>
          <w:color w:val="000000" w:themeColor="text1"/>
          <w:spacing w:val="0"/>
          <w:kern w:val="0"/>
          <w:sz w:val="32"/>
          <w:szCs w:val="32"/>
          <w14:textFill>
            <w14:solidFill>
              <w14:schemeClr w14:val="tx1"/>
            </w14:solidFill>
          </w14:textFill>
        </w:rPr>
        <w:t>●支出情况</w:t>
      </w:r>
    </w:p>
    <w:p w14:paraId="12D84BBC">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bidi="ar-SA"/>
        </w:rPr>
        <w:t>202</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6</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年，社会保险基金预算支出</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预计完成20150</w:t>
      </w:r>
      <w:r>
        <w:rPr>
          <w:rFonts w:hint="default" w:ascii="Times New Roman" w:hAnsi="Times New Roman" w:eastAsia="仿宋_GB2312" w:cs="Times New Roman"/>
          <w:i w:val="0"/>
          <w:iCs w:val="0"/>
          <w:caps w:val="0"/>
          <w:snapToGrid/>
          <w:color w:val="auto"/>
          <w:spacing w:val="0"/>
          <w:kern w:val="2"/>
          <w:sz w:val="32"/>
          <w:szCs w:val="32"/>
          <w:shd w:val="clear" w:fill="FFFFFF"/>
          <w:lang w:bidi="ar-SA"/>
        </w:rPr>
        <w:t>万元。</w:t>
      </w:r>
    </w:p>
    <w:p w14:paraId="1A997DBE">
      <w:pPr>
        <w:keepNext w:val="0"/>
        <w:keepLines w:val="0"/>
        <w:pageBreakBefore w:val="0"/>
        <w:widowControl w:val="0"/>
        <w:kinsoku/>
        <w:wordWrap/>
        <w:overflowPunct/>
        <w:topLinePunct w:val="0"/>
        <w:autoSpaceDE/>
        <w:bidi w:val="0"/>
        <w:adjustRightInd/>
        <w:snapToGrid w:val="0"/>
        <w:spacing w:line="600" w:lineRule="exact"/>
        <w:ind w:left="0" w:right="0" w:rightChars="0" w:firstLine="640" w:firstLineChars="200"/>
        <w:jc w:val="both"/>
        <w:rPr>
          <w:rFonts w:hint="default" w:ascii="Times New Roman" w:hAnsi="Times New Roman" w:eastAsia="黑体" w:cs="Times New Roman"/>
          <w:b w:val="0"/>
          <w:bCs w:val="0"/>
          <w:color w:val="000000" w:themeColor="text1"/>
          <w:spacing w:val="0"/>
          <w:sz w:val="32"/>
          <w:szCs w:val="32"/>
          <w14:textFill>
            <w14:solidFill>
              <w14:schemeClr w14:val="tx1"/>
            </w14:solidFill>
          </w14:textFill>
        </w:rPr>
      </w:pPr>
      <w:r>
        <w:rPr>
          <w:rFonts w:hint="default" w:ascii="Times New Roman" w:hAnsi="Times New Roman" w:eastAsia="黑体" w:cs="Times New Roman"/>
          <w:b w:val="0"/>
          <w:bCs w:val="0"/>
          <w:color w:val="000000" w:themeColor="text1"/>
          <w:spacing w:val="0"/>
          <w:sz w:val="32"/>
          <w:szCs w:val="32"/>
          <w:lang w:val="en-US" w:eastAsia="zh-CN"/>
          <w14:textFill>
            <w14:solidFill>
              <w14:schemeClr w14:val="tx1"/>
            </w14:solidFill>
          </w14:textFill>
        </w:rPr>
        <w:t>四、</w:t>
      </w:r>
      <w:r>
        <w:rPr>
          <w:rFonts w:hint="default" w:ascii="Times New Roman" w:hAnsi="Times New Roman" w:eastAsia="黑体" w:cs="Times New Roman"/>
          <w:b w:val="0"/>
          <w:bCs w:val="0"/>
          <w:color w:val="000000" w:themeColor="text1"/>
          <w:spacing w:val="0"/>
          <w:sz w:val="32"/>
          <w:szCs w:val="32"/>
          <w14:textFill>
            <w14:solidFill>
              <w14:schemeClr w14:val="tx1"/>
            </w14:solidFill>
          </w14:textFill>
        </w:rPr>
        <w:t>202</w:t>
      </w:r>
      <w:r>
        <w:rPr>
          <w:rFonts w:hint="default" w:ascii="Times New Roman" w:hAnsi="Times New Roman" w:eastAsia="黑体" w:cs="Times New Roman"/>
          <w:b w:val="0"/>
          <w:bCs w:val="0"/>
          <w:color w:val="000000" w:themeColor="text1"/>
          <w:spacing w:val="0"/>
          <w:sz w:val="32"/>
          <w:szCs w:val="32"/>
          <w:lang w:val="en-US" w:eastAsia="zh-CN"/>
          <w14:textFill>
            <w14:solidFill>
              <w14:schemeClr w14:val="tx1"/>
            </w14:solidFill>
          </w14:textFill>
        </w:rPr>
        <w:t>6</w:t>
      </w:r>
      <w:r>
        <w:rPr>
          <w:rFonts w:hint="default" w:ascii="Times New Roman" w:hAnsi="Times New Roman" w:eastAsia="黑体" w:cs="Times New Roman"/>
          <w:b w:val="0"/>
          <w:bCs w:val="0"/>
          <w:color w:val="000000" w:themeColor="text1"/>
          <w:spacing w:val="0"/>
          <w:sz w:val="32"/>
          <w:szCs w:val="32"/>
          <w14:textFill>
            <w14:solidFill>
              <w14:schemeClr w14:val="tx1"/>
            </w14:solidFill>
          </w14:textFill>
        </w:rPr>
        <w:t>年财政工作重点</w:t>
      </w:r>
    </w:p>
    <w:p w14:paraId="7456AAC1">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zh-CN" w:eastAsia="zh-CN" w:bidi="ar-SA"/>
        </w:rPr>
      </w:pPr>
      <w:r>
        <w:rPr>
          <w:rFonts w:hint="default" w:ascii="Times New Roman" w:hAnsi="Times New Roman" w:eastAsia="楷体_GB2312" w:cs="Times New Roman"/>
          <w:b/>
          <w:bCs/>
          <w:snapToGrid/>
          <w:kern w:val="2"/>
          <w:sz w:val="32"/>
          <w:szCs w:val="32"/>
          <w:lang w:val="zh-CN" w:eastAsia="zh-CN" w:bidi="ar-SA"/>
        </w:rPr>
        <w:t>（一）</w:t>
      </w:r>
      <w:r>
        <w:rPr>
          <w:rFonts w:hint="default" w:ascii="Times New Roman" w:hAnsi="Times New Roman" w:eastAsia="楷体_GB2312" w:cs="Times New Roman"/>
          <w:b/>
          <w:bCs/>
          <w:snapToGrid/>
          <w:kern w:val="2"/>
          <w:sz w:val="32"/>
          <w:szCs w:val="32"/>
          <w:lang w:val="en-US" w:eastAsia="zh-CN" w:bidi="ar-SA"/>
        </w:rPr>
        <w:t>着</w:t>
      </w:r>
      <w:r>
        <w:rPr>
          <w:rFonts w:hint="default" w:ascii="Times New Roman" w:hAnsi="Times New Roman" w:eastAsia="楷体_GB2312" w:cs="Times New Roman"/>
          <w:b/>
          <w:bCs/>
          <w:snapToGrid/>
          <w:kern w:val="2"/>
          <w:sz w:val="32"/>
          <w:szCs w:val="32"/>
          <w:lang w:val="zh-CN" w:eastAsia="zh-CN" w:bidi="ar-SA"/>
        </w:rPr>
        <w:t>力增收节支，不断提高财政保障能力</w:t>
      </w:r>
    </w:p>
    <w:p w14:paraId="79A585A3">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pPr>
      <w:r>
        <w:rPr>
          <w:rFonts w:hint="default" w:ascii="Times New Roman" w:hAnsi="Times New Roman" w:eastAsia="仿宋_GB2312" w:cs="Times New Roman"/>
          <w:b/>
          <w:bCs/>
          <w:i w:val="0"/>
          <w:iCs w:val="0"/>
          <w:caps w:val="0"/>
          <w:snapToGrid/>
          <w:color w:val="auto"/>
          <w:spacing w:val="0"/>
          <w:kern w:val="2"/>
          <w:sz w:val="32"/>
          <w:szCs w:val="32"/>
          <w:shd w:val="clear" w:fill="FFFFFF"/>
          <w:lang w:val="zh-CN" w:eastAsia="zh-CN" w:bidi="ar-SA"/>
        </w:rPr>
        <w:t>一是</w:t>
      </w:r>
      <w:r>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t>强化财税协同。加强部门联动，狠抓重点税源征管，拓展税收渠道，确保收入依法足额入库，全力完成年度收入目标。</w:t>
      </w:r>
      <w:r>
        <w:rPr>
          <w:rFonts w:hint="default" w:ascii="Times New Roman" w:hAnsi="Times New Roman" w:eastAsia="仿宋_GB2312" w:cs="Times New Roman"/>
          <w:b/>
          <w:bCs/>
          <w:i w:val="0"/>
          <w:iCs w:val="0"/>
          <w:caps w:val="0"/>
          <w:snapToGrid/>
          <w:color w:val="auto"/>
          <w:spacing w:val="0"/>
          <w:kern w:val="2"/>
          <w:sz w:val="32"/>
          <w:szCs w:val="32"/>
          <w:shd w:val="clear" w:fill="FFFFFF"/>
          <w:lang w:val="zh-CN" w:eastAsia="zh-CN" w:bidi="ar-SA"/>
        </w:rPr>
        <w:t>二是</w:t>
      </w:r>
      <w:r>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t>盘活存量资源。深化国有“三资”管理改革，通过市场化方式盘活行政事业单位闲置资产，挖掘经营收益潜力，提升资产综合效益。</w:t>
      </w:r>
      <w:r>
        <w:rPr>
          <w:rFonts w:hint="default" w:ascii="Times New Roman" w:hAnsi="Times New Roman" w:eastAsia="仿宋_GB2312" w:cs="Times New Roman"/>
          <w:b/>
          <w:bCs/>
          <w:i w:val="0"/>
          <w:iCs w:val="0"/>
          <w:caps w:val="0"/>
          <w:snapToGrid/>
          <w:color w:val="auto"/>
          <w:spacing w:val="0"/>
          <w:kern w:val="2"/>
          <w:sz w:val="32"/>
          <w:szCs w:val="32"/>
          <w:shd w:val="clear" w:fill="FFFFFF"/>
          <w:lang w:val="zh-CN" w:eastAsia="zh-CN" w:bidi="ar-SA"/>
        </w:rPr>
        <w:t>三是</w:t>
      </w:r>
      <w:r>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t>严控支出优化结构。坚持过“紧日子”，量入为出、精打细算，“小钱小气，大钱大方”，多措并举统筹财力，节用裕民。</w:t>
      </w:r>
      <w:r>
        <w:rPr>
          <w:rFonts w:hint="default" w:ascii="Times New Roman" w:hAnsi="Times New Roman" w:eastAsia="仿宋_GB2312" w:cs="Times New Roman"/>
          <w:b/>
          <w:bCs/>
          <w:i w:val="0"/>
          <w:iCs w:val="0"/>
          <w:caps w:val="0"/>
          <w:snapToGrid/>
          <w:color w:val="auto"/>
          <w:spacing w:val="0"/>
          <w:kern w:val="2"/>
          <w:sz w:val="32"/>
          <w:szCs w:val="32"/>
          <w:shd w:val="clear" w:fill="FFFFFF"/>
          <w:lang w:val="zh-CN" w:eastAsia="zh-CN" w:bidi="ar-SA"/>
        </w:rPr>
        <w:t>四是</w:t>
      </w:r>
      <w:r>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t>从严从紧管控支出。坚持零基预算，精准压减非必要、非刚性支出；坚持“无预算不支出”，严格规范预算</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调整人大审批程序</w:t>
      </w:r>
      <w:r>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t>；加强政府投资项目管理，该停则停、能缓则缓，对新上项目，无明确资金来源或超出区级承受能力的一律审慎审批；严格控制临聘人员规模，确保只减不增；严格执行“三保”外支出会商制度，规范指标结转报批程序，切实硬化支出约束。</w:t>
      </w:r>
    </w:p>
    <w:p w14:paraId="410286D1">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zh-CN" w:eastAsia="zh-CN" w:bidi="ar-SA"/>
        </w:rPr>
      </w:pPr>
      <w:r>
        <w:rPr>
          <w:rFonts w:hint="default" w:ascii="Times New Roman" w:hAnsi="Times New Roman" w:eastAsia="楷体_GB2312" w:cs="Times New Roman"/>
          <w:b/>
          <w:bCs/>
          <w:snapToGrid/>
          <w:kern w:val="2"/>
          <w:sz w:val="32"/>
          <w:szCs w:val="32"/>
          <w:lang w:val="zh-CN" w:eastAsia="zh-CN" w:bidi="ar-SA"/>
        </w:rPr>
        <w:t>（</w:t>
      </w:r>
      <w:r>
        <w:rPr>
          <w:rFonts w:hint="default" w:ascii="Times New Roman" w:hAnsi="Times New Roman" w:eastAsia="楷体_GB2312" w:cs="Times New Roman"/>
          <w:b/>
          <w:bCs/>
          <w:snapToGrid/>
          <w:kern w:val="2"/>
          <w:sz w:val="32"/>
          <w:szCs w:val="32"/>
          <w:lang w:val="en-US" w:eastAsia="zh-CN" w:bidi="ar-SA"/>
        </w:rPr>
        <w:t>二</w:t>
      </w:r>
      <w:r>
        <w:rPr>
          <w:rFonts w:hint="default" w:ascii="Times New Roman" w:hAnsi="Times New Roman" w:eastAsia="楷体_GB2312" w:cs="Times New Roman"/>
          <w:b/>
          <w:bCs/>
          <w:snapToGrid/>
          <w:kern w:val="2"/>
          <w:sz w:val="32"/>
          <w:szCs w:val="32"/>
          <w:lang w:val="zh-CN" w:eastAsia="zh-CN" w:bidi="ar-SA"/>
        </w:rPr>
        <w:t>）全力保障民生，稳步</w:t>
      </w:r>
      <w:r>
        <w:rPr>
          <w:rFonts w:hint="default" w:ascii="Times New Roman" w:hAnsi="Times New Roman" w:eastAsia="楷体_GB2312" w:cs="Times New Roman"/>
          <w:b/>
          <w:bCs/>
          <w:snapToGrid/>
          <w:kern w:val="2"/>
          <w:sz w:val="32"/>
          <w:szCs w:val="32"/>
          <w:lang w:val="en-US" w:eastAsia="zh-CN" w:bidi="ar-SA"/>
        </w:rPr>
        <w:t>提升</w:t>
      </w:r>
      <w:r>
        <w:rPr>
          <w:rFonts w:hint="default" w:ascii="Times New Roman" w:hAnsi="Times New Roman" w:eastAsia="楷体_GB2312" w:cs="Times New Roman"/>
          <w:b/>
          <w:bCs/>
          <w:snapToGrid/>
          <w:kern w:val="2"/>
          <w:sz w:val="32"/>
          <w:szCs w:val="32"/>
          <w:lang w:val="zh-CN" w:eastAsia="zh-CN" w:bidi="ar-SA"/>
        </w:rPr>
        <w:t>人民群众福祉</w:t>
      </w:r>
    </w:p>
    <w:p w14:paraId="7C4CE1DF">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b/>
          <w:bCs/>
          <w:i w:val="0"/>
          <w:iCs w:val="0"/>
          <w:caps w:val="0"/>
          <w:snapToGrid/>
          <w:color w:val="auto"/>
          <w:spacing w:val="0"/>
          <w:kern w:val="2"/>
          <w:sz w:val="32"/>
          <w:szCs w:val="32"/>
          <w:shd w:val="clear" w:fill="FFFFFF"/>
          <w:lang w:val="zh-CN" w:eastAsia="zh-CN" w:bidi="ar-SA"/>
        </w:rPr>
        <w:t>一是</w:t>
      </w:r>
      <w:r>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t>优先保障教育投入。落实“两个只增不减”，完善义务教育经费保障，扩大优质资源供给，支持教育均衡发展。</w:t>
      </w:r>
      <w:r>
        <w:rPr>
          <w:rFonts w:hint="default" w:ascii="Times New Roman" w:hAnsi="Times New Roman" w:eastAsia="仿宋_GB2312" w:cs="Times New Roman"/>
          <w:b/>
          <w:bCs/>
          <w:i w:val="0"/>
          <w:iCs w:val="0"/>
          <w:caps w:val="0"/>
          <w:snapToGrid/>
          <w:color w:val="auto"/>
          <w:spacing w:val="0"/>
          <w:kern w:val="2"/>
          <w:sz w:val="32"/>
          <w:szCs w:val="32"/>
          <w:shd w:val="clear" w:fill="FFFFFF"/>
          <w:lang w:val="zh-CN" w:eastAsia="zh-CN" w:bidi="ar-SA"/>
        </w:rPr>
        <w:t>二是</w:t>
      </w:r>
      <w:r>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t>稳定和扩大就业。统筹资金加大投入，重点保障高校毕业生、退役军人、脱贫人口等重点群体就业创业政策落实。</w:t>
      </w:r>
      <w:r>
        <w:rPr>
          <w:rFonts w:hint="default" w:ascii="Times New Roman" w:hAnsi="Times New Roman" w:eastAsia="仿宋_GB2312" w:cs="Times New Roman"/>
          <w:b/>
          <w:bCs/>
          <w:i w:val="0"/>
          <w:iCs w:val="0"/>
          <w:caps w:val="0"/>
          <w:snapToGrid/>
          <w:color w:val="auto"/>
          <w:spacing w:val="0"/>
          <w:kern w:val="2"/>
          <w:sz w:val="32"/>
          <w:szCs w:val="32"/>
          <w:shd w:val="clear" w:fill="FFFFFF"/>
          <w:lang w:val="zh-CN" w:eastAsia="zh-CN" w:bidi="ar-SA"/>
        </w:rPr>
        <w:t>三是</w:t>
      </w:r>
      <w:r>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t>提升医疗卫生水平。保障基本公共卫生服务经费，支持城乡居民医保待遇落实，深化公立医院改革，加强基层医疗卫生服务能力建设。</w:t>
      </w:r>
      <w:r>
        <w:rPr>
          <w:rFonts w:hint="default" w:ascii="Times New Roman" w:hAnsi="Times New Roman" w:eastAsia="仿宋_GB2312" w:cs="Times New Roman"/>
          <w:b/>
          <w:bCs/>
          <w:i w:val="0"/>
          <w:iCs w:val="0"/>
          <w:caps w:val="0"/>
          <w:snapToGrid/>
          <w:color w:val="auto"/>
          <w:spacing w:val="0"/>
          <w:kern w:val="2"/>
          <w:sz w:val="32"/>
          <w:szCs w:val="32"/>
          <w:shd w:val="clear" w:fill="FFFFFF"/>
          <w:lang w:val="zh-CN" w:eastAsia="zh-CN" w:bidi="ar-SA"/>
        </w:rPr>
        <w:t>四是</w:t>
      </w:r>
      <w:r>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t>健全社会保障体系。加大养老、社会救助等投入，完善特殊群体关爱服务体系，筑牢民生兜底网。</w:t>
      </w:r>
      <w:r>
        <w:rPr>
          <w:rFonts w:hint="default" w:ascii="Times New Roman" w:hAnsi="Times New Roman" w:eastAsia="仿宋_GB2312" w:cs="Times New Roman"/>
          <w:b/>
          <w:bCs/>
          <w:i w:val="0"/>
          <w:iCs w:val="0"/>
          <w:caps w:val="0"/>
          <w:snapToGrid/>
          <w:color w:val="auto"/>
          <w:spacing w:val="0"/>
          <w:kern w:val="2"/>
          <w:sz w:val="32"/>
          <w:szCs w:val="32"/>
          <w:shd w:val="clear" w:fill="FFFFFF"/>
          <w:lang w:val="zh-CN" w:eastAsia="zh-CN" w:bidi="ar-SA"/>
        </w:rPr>
        <w:t>五是</w:t>
      </w:r>
      <w:r>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t>衔接推进乡村振兴。</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在常态化帮扶期内，</w:t>
      </w:r>
      <w:r>
        <w:rPr>
          <w:rFonts w:hint="default" w:ascii="Times New Roman" w:hAnsi="Times New Roman" w:eastAsia="仿宋_GB2312" w:cs="Times New Roman"/>
          <w:i w:val="0"/>
          <w:iCs w:val="0"/>
          <w:caps w:val="0"/>
          <w:snapToGrid/>
          <w:color w:val="auto"/>
          <w:spacing w:val="0"/>
          <w:kern w:val="2"/>
          <w:sz w:val="32"/>
          <w:szCs w:val="32"/>
          <w:shd w:val="clear" w:fill="FFFFFF"/>
          <w:lang w:val="zh-CN" w:eastAsia="zh-CN" w:bidi="ar-SA"/>
        </w:rPr>
        <w:t>保持财政支持政策总体稳定，支持乡村产业发展，助力巩固拓展脱贫攻坚成果</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，坚决守牢不发生规模性返贫致贫底线。</w:t>
      </w:r>
    </w:p>
    <w:p w14:paraId="7D1D445F">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（三）强化底线思维，切实防范化解财政风险</w:t>
      </w:r>
    </w:p>
    <w:p w14:paraId="609A785F">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ind w:left="0" w:firstLine="643"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一是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坚决兜牢“三保”底线。2026年，“三保”仍是财政工作的首要任务和刚性底线。财政部门将扛牢责任，统筹一切可用资源，筑牢全区稳定运行根基。</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二是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稳妥化解政府债务。坚持“化存量、控增量”，积极争取债券额度与置换政策，优化债务结构，缓释偿债压力。科学制定化解方案，灵活清理拖欠企业账款。</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三是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严肃财经纪律。强化财会监督，确保纪律刚性执行，防范财经和审计风险。</w:t>
      </w:r>
    </w:p>
    <w:p w14:paraId="38299F03">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（四）坚定不移争项目，积极争取上级政策和资金支持</w:t>
      </w:r>
    </w:p>
    <w:p w14:paraId="3907ED82">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深刻把握中央加大宏观调控、在扩大内需、实施积极财政政策的机遇，围绕国家重大战略和资金投向，特别是预算内投资、特别国债、地方政府债券等约6.8万亿元的庞大资金池，主动对接，精准谋划。同时，利用好革命老区振兴、淮河生态经济带建设等国家战略，以及省、市推动产业升级的政策红利，聚焦“六新两品”产业链群和现代化产业体系部署，将政策机遇转化为具体项目和实在资金，为区域发展注入强劲动力。</w:t>
      </w:r>
    </w:p>
    <w:p w14:paraId="5553DCEC">
      <w:pPr>
        <w:pStyle w:val="10"/>
        <w:keepNext w:val="0"/>
        <w:keepLines w:val="0"/>
        <w:pageBreakBefore w:val="0"/>
        <w:widowControl w:val="0"/>
        <w:numPr>
          <w:ilvl w:val="0"/>
          <w:numId w:val="0"/>
        </w:numPr>
        <w:kinsoku/>
        <w:wordWrap/>
        <w:overflowPunct/>
        <w:topLinePunct w:val="0"/>
        <w:autoSpaceDE/>
        <w:autoSpaceDN/>
        <w:bidi w:val="0"/>
        <w:spacing w:after="0" w:line="600" w:lineRule="exact"/>
        <w:ind w:firstLine="643" w:firstLineChars="200"/>
        <w:jc w:val="both"/>
        <w:textAlignment w:val="auto"/>
        <w:rPr>
          <w:rFonts w:hint="default" w:ascii="Times New Roman" w:hAnsi="Times New Roman" w:eastAsia="楷体_GB2312" w:cs="Times New Roman"/>
          <w:b/>
          <w:bCs/>
          <w:snapToGrid/>
          <w:kern w:val="2"/>
          <w:sz w:val="32"/>
          <w:szCs w:val="32"/>
          <w:lang w:val="en-US" w:eastAsia="zh-CN" w:bidi="ar-SA"/>
        </w:rPr>
      </w:pPr>
      <w:r>
        <w:rPr>
          <w:rFonts w:hint="default" w:ascii="Times New Roman" w:hAnsi="Times New Roman" w:eastAsia="楷体_GB2312" w:cs="Times New Roman"/>
          <w:b/>
          <w:bCs/>
          <w:snapToGrid/>
          <w:kern w:val="2"/>
          <w:sz w:val="32"/>
          <w:szCs w:val="32"/>
          <w:lang w:val="en-US" w:eastAsia="zh-CN" w:bidi="ar-SA"/>
        </w:rPr>
        <w:t>（五）深化改革创新，加快完善现代财政制度</w:t>
      </w:r>
    </w:p>
    <w:p w14:paraId="06453641">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pP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一是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完善预算管理体系。深化全口径预算管理，强化“四本预算”统筹衔接。持续推进预算管理一体化建设，提升信息化、标准化水平。</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二是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做好零基预算工作。打破支出固化格局，建立能增能减的分配机制，健全支出标准体系，强化约束作用。</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三是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强化预算执行刚性。严格执行人大批准的预算，加快资金拨付进度，规范政府采购管理，确保财政政策落到实处。</w:t>
      </w:r>
      <w:r>
        <w:rPr>
          <w:rFonts w:hint="default" w:ascii="Times New Roman" w:hAnsi="Times New Roman" w:eastAsia="仿宋_GB2312" w:cs="Times New Roman"/>
          <w:b/>
          <w:bCs/>
          <w:i w:val="0"/>
          <w:iCs w:val="0"/>
          <w:caps w:val="0"/>
          <w:snapToGrid/>
          <w:color w:val="auto"/>
          <w:spacing w:val="0"/>
          <w:kern w:val="2"/>
          <w:sz w:val="32"/>
          <w:szCs w:val="32"/>
          <w:shd w:val="clear" w:fill="FFFFFF"/>
          <w:lang w:val="en-US" w:eastAsia="zh-CN" w:bidi="ar-SA"/>
        </w:rPr>
        <w:t>四是</w:t>
      </w: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全面实施预算绩效管理。牢固树立“花钱必问效、无效必问责”理念，突出“以事定钱”“成本管控”，健全全过程绩效管理链。加强财政政策评估评价，切实提高政策的可行性与财政的可持续性。</w:t>
      </w:r>
    </w:p>
    <w:p w14:paraId="23E1AECE">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snapToGrid/>
          <w:color w:val="auto"/>
          <w:spacing w:val="0"/>
          <w:kern w:val="2"/>
          <w:sz w:val="32"/>
          <w:szCs w:val="32"/>
          <w:shd w:val="clear" w:fill="FFFFFF"/>
          <w:lang w:bidi="ar-SA"/>
        </w:rPr>
      </w:pPr>
      <w:r>
        <w:rPr>
          <w:rFonts w:hint="default" w:ascii="Times New Roman" w:hAnsi="Times New Roman" w:eastAsia="仿宋_GB2312" w:cs="Times New Roman"/>
          <w:i w:val="0"/>
          <w:iCs w:val="0"/>
          <w:caps w:val="0"/>
          <w:snapToGrid/>
          <w:color w:val="auto"/>
          <w:spacing w:val="0"/>
          <w:kern w:val="2"/>
          <w:sz w:val="32"/>
          <w:szCs w:val="32"/>
          <w:shd w:val="clear" w:fill="FFFFFF"/>
          <w:lang w:val="en-US" w:eastAsia="zh-CN" w:bidi="ar-SA"/>
        </w:rPr>
        <w:t>各位代表，面对风险挑战，实现2026年财政工作任务艰巨、责任重大。我们将在区委的坚强领导下，自觉接受区人大的依法监督，牢记使命、实干担当，全力以赴完成各项目标任务，为加快推进浉河经济社会高质量发展作出新的更大贡献！</w:t>
      </w:r>
    </w:p>
    <w:sectPr>
      <w:footerReference r:id="rId5" w:type="default"/>
      <w:pgSz w:w="11906" w:h="16838"/>
      <w:pgMar w:top="1814" w:right="1587" w:bottom="1701" w:left="1587"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FB8E2">
    <w:pPr>
      <w:pStyle w:val="4"/>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C29A9">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8FC29A9">
                    <w:pPr>
                      <w:rPr>
                        <w:rFonts w:hint="eastAsia"/>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93B0C"/>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593B0C"/>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posOffset>2635885</wp:posOffset>
              </wp:positionH>
              <wp:positionV relativeFrom="paragraph">
                <wp:posOffset>0</wp:posOffset>
              </wp:positionV>
              <wp:extent cx="582295" cy="22161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82295" cy="221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412F6D">
                          <w:pPr>
                            <w:rPr>
                              <w:rFonts w:hint="eastAsia"/>
                              <w:lang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7.55pt;margin-top:0pt;height:17.45pt;width:45.85pt;mso-position-horizontal-relative:margin;z-index:251661312;mso-width-relative:page;mso-height-relative:page;" filled="f" stroked="f" coordsize="21600,21600" o:gfxdata="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JLfNw7VAAAABwEAAA8AAAAAAAAAAQAgAAAAIgAAAGRycy9kb3ducmV2&#10;LnhtbFBLAQIUABQAAAAIAIdO4kA9ZnBpOAIAAGEEAAAOAAAAAAAAAAEAIAAAACQBAABkcnMvZTJv&#10;RG9jLnhtbFBLBQYAAAAABgAGAFkBAADOBQAAAAA=&#10;">
              <v:fill on="f" focussize="0,0"/>
              <v:stroke on="f" weight="0.5pt"/>
              <v:imagedata o:title=""/>
              <o:lock v:ext="edit" aspectratio="f"/>
              <v:textbox inset="0mm,0mm,0mm,0mm">
                <w:txbxContent>
                  <w:p w14:paraId="72412F6D">
                    <w:pPr>
                      <w:rPr>
                        <w:rFonts w:hint="eastAsia"/>
                        <w:lang w:eastAsia="zh-CN"/>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2515870</wp:posOffset>
              </wp:positionH>
              <wp:positionV relativeFrom="paragraph">
                <wp:posOffset>0</wp:posOffset>
              </wp:positionV>
              <wp:extent cx="497840" cy="1746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97840" cy="174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AAB7C">
                          <w:pPr>
                            <w:pStyle w:val="4"/>
                            <w:rPr>
                              <w:rFonts w:hint="eastAsia" w:asciiTheme="minorEastAsia" w:hAnsiTheme="minorEastAsia" w:eastAsiaTheme="minorEastAsia" w:cstheme="minorEastAsia"/>
                              <w:sz w:val="24"/>
                              <w:szCs w:val="24"/>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8.1pt;margin-top:0pt;height:13.75pt;width:39.2pt;mso-position-horizontal-relative:margin;z-index:251660288;mso-width-relative:page;mso-height-relative:page;" filled="f" stroked="f" coordsize="21600,21600" o:gfxdata="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hoEytYAAAAHAQAADwAAAAAAAAABACAAAAAiAAAAZHJzL2Rvd25y&#10;ZXYueG1sUEsBAhQAFAAAAAgAh07iQHMKYDc5AgAAYQQAAA4AAAAAAAAAAQAgAAAAJQEAAGRycy9l&#10;Mm9Eb2MueG1sUEsFBgAAAAAGAAYAWQEAANAFAAAAAA==&#10;">
              <v:fill on="f" focussize="0,0"/>
              <v:stroke on="f" weight="0.5pt"/>
              <v:imagedata o:title=""/>
              <o:lock v:ext="edit" aspectratio="f"/>
              <v:textbox inset="0mm,0mm,0mm,0mm">
                <w:txbxContent>
                  <w:p w14:paraId="5C7AAB7C">
                    <w:pPr>
                      <w:pStyle w:val="4"/>
                      <w:rPr>
                        <w:rFonts w:hint="eastAsia" w:asciiTheme="minorEastAsia" w:hAnsiTheme="minorEastAsia" w:eastAsiaTheme="minorEastAsia" w:cstheme="minorEastAsia"/>
                        <w:sz w:val="24"/>
                        <w:szCs w:val="24"/>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7B9D8A"/>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1A7B9D8A"/>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11921"/>
    <w:rsid w:val="037A7557"/>
    <w:rsid w:val="0B0835EB"/>
    <w:rsid w:val="0B0D6BAC"/>
    <w:rsid w:val="0B666699"/>
    <w:rsid w:val="0C1C35C4"/>
    <w:rsid w:val="0C300E1D"/>
    <w:rsid w:val="0CE06D59"/>
    <w:rsid w:val="0D38442D"/>
    <w:rsid w:val="0E537B7A"/>
    <w:rsid w:val="0FD34206"/>
    <w:rsid w:val="11F56D91"/>
    <w:rsid w:val="164761FF"/>
    <w:rsid w:val="1D5C2CE1"/>
    <w:rsid w:val="203A6984"/>
    <w:rsid w:val="20407429"/>
    <w:rsid w:val="20D11921"/>
    <w:rsid w:val="23921508"/>
    <w:rsid w:val="23D5380B"/>
    <w:rsid w:val="25773693"/>
    <w:rsid w:val="25F31B81"/>
    <w:rsid w:val="26C96EFA"/>
    <w:rsid w:val="27C3097B"/>
    <w:rsid w:val="289A5B6B"/>
    <w:rsid w:val="28F9769C"/>
    <w:rsid w:val="29A85E27"/>
    <w:rsid w:val="29D60D07"/>
    <w:rsid w:val="2F4D143A"/>
    <w:rsid w:val="3057062A"/>
    <w:rsid w:val="333D6FA5"/>
    <w:rsid w:val="35C30197"/>
    <w:rsid w:val="36647054"/>
    <w:rsid w:val="388365F5"/>
    <w:rsid w:val="39C15B2A"/>
    <w:rsid w:val="39C96289"/>
    <w:rsid w:val="3AD46713"/>
    <w:rsid w:val="3AF57607"/>
    <w:rsid w:val="3B0811FC"/>
    <w:rsid w:val="3D5516A8"/>
    <w:rsid w:val="3D7D7B38"/>
    <w:rsid w:val="3EBE3EE3"/>
    <w:rsid w:val="3ECF5173"/>
    <w:rsid w:val="421B2F14"/>
    <w:rsid w:val="434774B5"/>
    <w:rsid w:val="43E91A02"/>
    <w:rsid w:val="45210077"/>
    <w:rsid w:val="480E19C4"/>
    <w:rsid w:val="486B0516"/>
    <w:rsid w:val="4D761E2D"/>
    <w:rsid w:val="51DA347D"/>
    <w:rsid w:val="53313B7F"/>
    <w:rsid w:val="55937A20"/>
    <w:rsid w:val="56A60B4A"/>
    <w:rsid w:val="56A9238D"/>
    <w:rsid w:val="571B7CCD"/>
    <w:rsid w:val="5A3C32C0"/>
    <w:rsid w:val="5C4250FC"/>
    <w:rsid w:val="5D526412"/>
    <w:rsid w:val="62370CCE"/>
    <w:rsid w:val="641164FF"/>
    <w:rsid w:val="64A137DB"/>
    <w:rsid w:val="65622575"/>
    <w:rsid w:val="66875FF0"/>
    <w:rsid w:val="67622FB4"/>
    <w:rsid w:val="680113F6"/>
    <w:rsid w:val="68C45FB9"/>
    <w:rsid w:val="6B364A70"/>
    <w:rsid w:val="6D8F0E10"/>
    <w:rsid w:val="6EFC6A79"/>
    <w:rsid w:val="732950C1"/>
    <w:rsid w:val="73483566"/>
    <w:rsid w:val="77672E3E"/>
    <w:rsid w:val="789B1115"/>
    <w:rsid w:val="79833D74"/>
    <w:rsid w:val="79863274"/>
    <w:rsid w:val="7A221DFB"/>
    <w:rsid w:val="7AA65250"/>
    <w:rsid w:val="7D434BB7"/>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link w:val="12"/>
    <w:qFormat/>
    <w:uiPriority w:val="0"/>
    <w:pPr>
      <w:keepNext/>
      <w:keepLines/>
      <w:spacing w:before="340" w:beforeLines="0" w:after="330" w:afterLines="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unhideWhenUsed/>
    <w:qFormat/>
    <w:uiPriority w:val="99"/>
    <w:rPr>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 w:type="character" w:styleId="9">
    <w:name w:val="Strong"/>
    <w:qFormat/>
    <w:uiPriority w:val="0"/>
    <w:rPr>
      <w:b/>
      <w:bCs/>
    </w:rPr>
  </w:style>
  <w:style w:type="paragraph" w:customStyle="1" w:styleId="10">
    <w:name w:val="正文首行缩进1"/>
    <w:basedOn w:val="3"/>
    <w:next w:val="1"/>
    <w:qFormat/>
    <w:uiPriority w:val="0"/>
    <w:pPr>
      <w:ind w:firstLine="420" w:firstLineChars="100"/>
    </w:pPr>
  </w:style>
  <w:style w:type="paragraph" w:customStyle="1" w:styleId="11">
    <w:name w:val="Default"/>
    <w:autoRedefine/>
    <w:qFormat/>
    <w:uiPriority w:val="99"/>
    <w:pPr>
      <w:widowControl w:val="0"/>
      <w:autoSpaceDE w:val="0"/>
      <w:autoSpaceDN w:val="0"/>
    </w:pPr>
    <w:rPr>
      <w:rFonts w:ascii="宋体" w:hAnsi="Times New Roman" w:eastAsia="宋体" w:cs="Times New Roman"/>
      <w:color w:val="000000"/>
      <w:sz w:val="24"/>
      <w:szCs w:val="22"/>
      <w:lang w:val="en-US" w:eastAsia="zh-CN" w:bidi="ar-SA"/>
    </w:rPr>
  </w:style>
  <w:style w:type="character" w:customStyle="1" w:styleId="12">
    <w:name w:val="标题 1 Char"/>
    <w:link w:val="2"/>
    <w:qFormat/>
    <w:uiPriority w:val="0"/>
    <w:rPr>
      <w:b/>
      <w:bCs/>
      <w:kern w:val="44"/>
      <w:sz w:val="44"/>
      <w:szCs w:val="44"/>
    </w:rPr>
  </w:style>
  <w:style w:type="paragraph" w:customStyle="1" w:styleId="13">
    <w:name w:val="Body Text First Indent 21"/>
    <w:basedOn w:val="14"/>
    <w:autoRedefine/>
    <w:qFormat/>
    <w:uiPriority w:val="0"/>
    <w:pPr>
      <w:ind w:left="420" w:leftChars="200" w:firstLine="420"/>
    </w:pPr>
    <w:rPr>
      <w:rFonts w:eastAsia="宋体"/>
      <w:sz w:val="24"/>
    </w:rPr>
  </w:style>
  <w:style w:type="paragraph" w:customStyle="1" w:styleId="14">
    <w:name w:val="Body Text Indent1"/>
    <w:basedOn w:val="1"/>
    <w:autoRedefine/>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71dc2a73-16ea-4d2b-a34b-fe79f522e9ed</errorID>
      <errorWord>区</errorWord>
      <group>L1_Word</group>
      <groupName>字词问题</groupName>
      <ability>L2_Typo</ability>
      <abilityName>字词错误</abilityName>
      <candidateList>
        <item>区第</item>
      </candidateList>
      <explain/>
      <paraID>12098205</paraID>
      <start>13</start>
      <end>14</end>
      <status>unmodified</status>
      <modifiedWord/>
      <trackRevisions>false</trackRevisions>
    </reviewItem>
    <reviewItem>
      <errorID>bf6e69a0-791a-4701-80b1-7b217f34293f</errorID>
      <errorWord>不发生系统性风险的底线</errorWord>
      <group>L1_Political</group>
      <groupName>政治性问题</groupName>
      <ability>L2_Keyword</ability>
      <abilityName>固定表述</abilityName>
      <candidateList>
        <item>不发生系统性金融风险的底线</item>
      </candidateList>
      <explain>词汇“不发生系统性金融风险的底线”在特定场景下为固定表述形式，请确认此处的“不发生系统性风险的底线”是否存在不当。</explain>
      <paraID>3288FD1A</paraID>
      <start>64</start>
      <end>75</end>
      <status>unmodified</status>
      <modifiedWord/>
      <trackRevisions>false</trackRevisions>
    </reviewItem>
    <reviewItem>
      <errorID>b0c674a9-3b74-4fad-843a-bd63715886cb</errorID>
      <errorWord>、在</errorWord>
      <group>L1_Word</group>
      <groupName>字词问题</groupName>
      <ability>L2_Typo</ability>
      <abilityName>字词错误</abilityName>
      <candidateList>
        <item>、</item>
      </candidateList>
      <explain/>
      <paraID>3907ED82</paraID>
      <start>12</start>
      <end>14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eed6fe-df24-44a9-9fdb-f142aa800255}">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4761</Words>
  <Characters>5216</Characters>
  <Lines>0</Lines>
  <Paragraphs>0</Paragraphs>
  <TotalTime>34</TotalTime>
  <ScaleCrop>false</ScaleCrop>
  <LinksUpToDate>false</LinksUpToDate>
  <CharactersWithSpaces>5221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2026-01-08T00:17:00Z</dcterms:created>
  <dc:creator>H、</dc:creator>
  <cp:lastModifiedBy>无痕</cp:lastModifiedBy>
  <dcterms:modified xsi:type="dcterms:W3CDTF">2026-02-07T02:49:23Z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9C1EBB3135514A1A893F223722688CFD_13</vt:lpwstr>
  </property>
  <property fmtid="{D5CDD505-2E9C-101B-9397-08002B2CF9AE}" pid="4" name="KSOTemplateDocerSaveRecord">
    <vt:lpwstr>eyJoZGlkIjoiNTQ1MmY1NDcyNmFhMzI5YzQ5M2ExNjAxZTk1N2QwZGMiLCJ1c2VySWQiOiI0Mzk2MDI3MDIifQ==</vt:lpwstr>
  </property>
</Properties>
</file>