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4EA3F2">
      <w:pPr>
        <w:pStyle w:val="7"/>
        <w:jc w:val="center"/>
        <w:rPr>
          <w:rFonts w:hint="eastAsia" w:ascii="方正小标宋简体" w:hAnsi="方正小标宋简体" w:eastAsia="方正小标宋简体" w:cs="方正小标宋简体"/>
          <w:b w:val="0"/>
          <w:bCs/>
          <w:color w:val="auto"/>
          <w:spacing w:val="0"/>
          <w:sz w:val="44"/>
          <w:szCs w:val="44"/>
          <w:lang w:val="en-US" w:eastAsia="zh-CN"/>
        </w:rPr>
      </w:pPr>
      <w:r>
        <w:rPr>
          <w:rFonts w:hint="eastAsia" w:ascii="方正小标宋简体" w:hAnsi="方正小标宋简体" w:eastAsia="方正小标宋简体" w:cs="方正小标宋简体"/>
          <w:b w:val="0"/>
          <w:bCs/>
          <w:color w:val="auto"/>
          <w:spacing w:val="0"/>
          <w:sz w:val="44"/>
          <w:szCs w:val="44"/>
          <w:lang w:val="en-US" w:eastAsia="zh-CN"/>
        </w:rPr>
        <w:t>信阳市平桥区2025年国民经济和社会发展计划执行情况及2026年国民经济和社会发展计划（草案）的报告（征求意见稿）</w:t>
      </w:r>
    </w:p>
    <w:p w14:paraId="345DE2DC">
      <w:pPr>
        <w:pStyle w:val="11"/>
        <w:keepNext w:val="0"/>
        <w:keepLines w:val="0"/>
        <w:pageBreakBefore w:val="0"/>
        <w:widowControl w:val="0"/>
        <w:kinsoku/>
        <w:wordWrap/>
        <w:overflowPunct/>
        <w:topLinePunct w:val="0"/>
        <w:autoSpaceDE/>
        <w:autoSpaceDN/>
        <w:bidi w:val="0"/>
        <w:snapToGrid/>
        <w:spacing w:line="540" w:lineRule="exact"/>
        <w:textAlignment w:val="auto"/>
        <w:rPr>
          <w:rFonts w:hint="eastAsia" w:ascii="Times New Roman" w:hAnsi="Times New Roman" w:eastAsia="仿宋_GB2312" w:cs="仿宋_GB2312"/>
        </w:rPr>
      </w:pPr>
      <w:bookmarkStart w:id="0" w:name="_GoBack"/>
      <w:bookmarkEnd w:id="0"/>
    </w:p>
    <w:p w14:paraId="55A12A04">
      <w:pPr>
        <w:pStyle w:val="11"/>
        <w:keepNext w:val="0"/>
        <w:keepLines w:val="0"/>
        <w:pageBreakBefore w:val="0"/>
        <w:widowControl w:val="0"/>
        <w:kinsoku/>
        <w:wordWrap/>
        <w:overflowPunct/>
        <w:topLinePunct w:val="0"/>
        <w:autoSpaceDE/>
        <w:autoSpaceDN/>
        <w:bidi w:val="0"/>
        <w:snapToGrid/>
        <w:spacing w:line="540" w:lineRule="exact"/>
        <w:textAlignment w:val="auto"/>
        <w:rPr>
          <w:rFonts w:hint="eastAsia" w:ascii="仿宋_GB2312" w:hAnsi="仿宋_GB2312" w:eastAsia="仿宋_GB2312" w:cs="仿宋_GB2312"/>
        </w:rPr>
      </w:pPr>
      <w:r>
        <w:rPr>
          <w:rFonts w:hint="eastAsia" w:ascii="Times New Roman" w:hAnsi="Times New Roman" w:eastAsia="仿宋_GB2312" w:cs="仿宋_GB2312"/>
        </w:rPr>
        <w:t>2025</w:t>
      </w:r>
      <w:r>
        <w:rPr>
          <w:rFonts w:hint="eastAsia" w:ascii="仿宋_GB2312" w:hAnsi="仿宋_GB2312" w:eastAsia="仿宋_GB2312" w:cs="仿宋_GB2312"/>
        </w:rPr>
        <w:t>年是“十四五”收官之年，</w:t>
      </w:r>
      <w:r>
        <w:rPr>
          <w:rFonts w:hint="eastAsia" w:ascii="仿宋_GB2312" w:hAnsi="仿宋_GB2312" w:eastAsia="仿宋_GB2312" w:cs="仿宋_GB2312"/>
          <w:lang w:val="en-US" w:eastAsia="zh-CN"/>
        </w:rPr>
        <w:t>全区上下</w:t>
      </w:r>
      <w:r>
        <w:rPr>
          <w:rFonts w:hint="eastAsia" w:ascii="仿宋_GB2312" w:hAnsi="仿宋_GB2312" w:eastAsia="仿宋_GB2312" w:cs="仿宋_GB2312"/>
        </w:rPr>
        <w:t>砥砺</w:t>
      </w:r>
      <w:r>
        <w:rPr>
          <w:rFonts w:hint="eastAsia" w:ascii="仿宋_GB2312" w:hAnsi="仿宋_GB2312" w:eastAsia="仿宋_GB2312" w:cs="仿宋_GB2312"/>
          <w:lang w:val="en-US" w:eastAsia="zh-CN"/>
        </w:rPr>
        <w:t>攻坚</w:t>
      </w:r>
      <w:r>
        <w:rPr>
          <w:rFonts w:hint="eastAsia" w:ascii="仿宋_GB2312" w:hAnsi="仿宋_GB2312" w:eastAsia="仿宋_GB2312" w:cs="仿宋_GB2312"/>
        </w:rPr>
        <w:t>、实干争先，推动经济社会发展稳中有进、持续向好，高质量发展取得了一系列实质性成效。</w:t>
      </w:r>
    </w:p>
    <w:p w14:paraId="7C15D397">
      <w:pPr>
        <w:pStyle w:val="11"/>
        <w:keepNext w:val="0"/>
        <w:keepLines w:val="0"/>
        <w:pageBreakBefore w:val="0"/>
        <w:widowControl w:val="0"/>
        <w:kinsoku/>
        <w:wordWrap/>
        <w:overflowPunct/>
        <w:topLinePunct w:val="0"/>
        <w:autoSpaceDE/>
        <w:autoSpaceDN/>
        <w:bidi w:val="0"/>
        <w:snapToGrid/>
        <w:spacing w:line="540" w:lineRule="exact"/>
        <w:textAlignment w:val="auto"/>
        <w:rPr>
          <w:rFonts w:hint="eastAsia" w:ascii="Times New Roman" w:hAnsi="Times New Roman"/>
          <w:sz w:val="32"/>
          <w:szCs w:val="32"/>
        </w:rPr>
      </w:pPr>
      <w:r>
        <w:rPr>
          <w:rFonts w:hint="eastAsia" w:ascii="Times New Roman" w:hAnsi="Times New Roman"/>
          <w:sz w:val="32"/>
          <w:szCs w:val="32"/>
        </w:rPr>
        <w:t>一、</w:t>
      </w:r>
      <w:r>
        <w:rPr>
          <w:rFonts w:hint="eastAsia" w:ascii="Times New Roman" w:hAnsi="Times New Roman" w:eastAsia="仿宋_GB2312"/>
          <w:sz w:val="32"/>
          <w:szCs w:val="32"/>
          <w:lang w:val="en-US" w:eastAsia="zh-CN"/>
        </w:rPr>
        <w:t>2025</w:t>
      </w:r>
      <w:r>
        <w:rPr>
          <w:rFonts w:hint="eastAsia" w:ascii="Times New Roman" w:hAnsi="Times New Roman"/>
          <w:sz w:val="32"/>
          <w:szCs w:val="32"/>
        </w:rPr>
        <w:t>年全区国民经济和社会发展计划执行情况</w:t>
      </w:r>
    </w:p>
    <w:p w14:paraId="0DC78B17">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_GB2312" w:cs="仿宋_GB2312"/>
          <w:color w:val="000000"/>
          <w:spacing w:val="0"/>
          <w:sz w:val="32"/>
          <w:szCs w:val="32"/>
        </w:rPr>
      </w:pPr>
      <w:r>
        <w:rPr>
          <w:rFonts w:hint="eastAsia" w:ascii="Times New Roman" w:hAnsi="Times New Roman" w:eastAsia="仿宋_GB2312" w:cs="仿宋_GB2312"/>
          <w:color w:val="000000"/>
          <w:spacing w:val="0"/>
          <w:sz w:val="32"/>
          <w:szCs w:val="32"/>
          <w:lang w:val="en-US" w:eastAsia="zh-CN"/>
        </w:rPr>
        <w:t>2025年，全区上下坚持以习近平新时代中国特色社会主义思想为指引，深入学习贯彻习近平总书记在河南考察时重要讲话精神和关于河南工作的重要论述，认真贯彻落实党的二十大和二十届历次全会精神，牢记“两个更好”殷殷嘱托，聚焦“两高四着力”重大要求，围绕“1+2+4+N”目标任务体系，全面落实区委高质量发展工作布局，认真执行</w:t>
      </w:r>
      <w:r>
        <w:rPr>
          <w:rFonts w:hint="eastAsia" w:ascii="Times New Roman" w:hAnsi="Times New Roman" w:eastAsia="仿宋_GB2312" w:cs="仿宋_GB2312"/>
          <w:color w:val="000000" w:themeColor="text1"/>
          <w:spacing w:val="0"/>
          <w:sz w:val="32"/>
          <w:szCs w:val="32"/>
          <w:lang w:val="en-US" w:eastAsia="zh-CN"/>
          <w14:textFill>
            <w14:solidFill>
              <w14:schemeClr w14:val="tx1"/>
            </w14:solidFill>
          </w14:textFill>
        </w:rPr>
        <w:t>区</w:t>
      </w:r>
      <w:r>
        <w:rPr>
          <w:rFonts w:hint="eastAsia" w:ascii="Times New Roman" w:hAnsi="Times New Roman" w:eastAsia="仿宋_GB2312" w:cs="仿宋_GB2312"/>
          <w:color w:val="000000"/>
          <w:spacing w:val="0"/>
          <w:sz w:val="32"/>
          <w:szCs w:val="32"/>
          <w:lang w:val="en-US" w:eastAsia="zh-CN"/>
        </w:rPr>
        <w:t>人大会议审查批准的2025年国民经济和社会发展计划，</w:t>
      </w:r>
      <w:r>
        <w:rPr>
          <w:rFonts w:hint="eastAsia" w:ascii="Times New Roman" w:hAnsi="Times New Roman" w:eastAsia="仿宋_GB2312" w:cs="仿宋_GB2312"/>
          <w:color w:val="000000"/>
          <w:spacing w:val="0"/>
          <w:sz w:val="32"/>
          <w:szCs w:val="32"/>
        </w:rPr>
        <w:t>坚持稳中求进工作总基调，集中精力抓项目，心无旁骛兴产业，着力稳就业稳企业稳市场稳预期，推动经济实现质的有效提升和量的合理增长。全年生产总值</w:t>
      </w:r>
      <w:r>
        <w:rPr>
          <w:rFonts w:hint="eastAsia" w:ascii="Times New Roman" w:hAnsi="Times New Roman" w:eastAsia="仿宋_GB2312" w:cs="仿宋_GB2312"/>
          <w:color w:val="000000"/>
          <w:spacing w:val="0"/>
          <w:sz w:val="32"/>
          <w:szCs w:val="32"/>
          <w:lang w:val="en-US"/>
        </w:rPr>
        <w:t>356.65</w:t>
      </w:r>
      <w:r>
        <w:rPr>
          <w:rFonts w:hint="eastAsia" w:ascii="Times New Roman" w:hAnsi="Times New Roman" w:eastAsia="仿宋_GB2312" w:cs="仿宋_GB2312"/>
          <w:color w:val="000000"/>
          <w:spacing w:val="0"/>
          <w:sz w:val="32"/>
          <w:szCs w:val="32"/>
        </w:rPr>
        <w:t>亿元、增长5</w:t>
      </w:r>
      <w:r>
        <w:rPr>
          <w:rFonts w:hint="eastAsia" w:ascii="Times New Roman" w:hAnsi="Times New Roman" w:eastAsia="仿宋_GB2312" w:cs="仿宋_GB2312"/>
          <w:color w:val="000000"/>
          <w:spacing w:val="0"/>
          <w:sz w:val="32"/>
          <w:szCs w:val="32"/>
          <w:lang w:val="en-US" w:eastAsia="zh-CN"/>
        </w:rPr>
        <w:t>.3</w:t>
      </w:r>
      <w:r>
        <w:rPr>
          <w:rFonts w:hint="eastAsia" w:ascii="Times New Roman" w:hAnsi="Times New Roman" w:eastAsia="仿宋_GB2312" w:cs="仿宋_GB2312"/>
          <w:color w:val="000000"/>
          <w:spacing w:val="0"/>
          <w:sz w:val="32"/>
          <w:szCs w:val="32"/>
        </w:rPr>
        <w:t>%</w:t>
      </w:r>
      <w:r>
        <w:rPr>
          <w:rFonts w:hint="eastAsia" w:ascii="Times New Roman" w:hAnsi="Times New Roman" w:eastAsia="仿宋_GB2312" w:cs="仿宋_GB2312"/>
          <w:color w:val="000000"/>
          <w:spacing w:val="0"/>
          <w:sz w:val="32"/>
          <w:szCs w:val="32"/>
          <w:lang w:eastAsia="zh-CN"/>
        </w:rPr>
        <w:t>，</w:t>
      </w:r>
      <w:r>
        <w:rPr>
          <w:rFonts w:hint="eastAsia" w:ascii="Times New Roman" w:hAnsi="Times New Roman" w:eastAsia="仿宋_GB2312" w:cs="仿宋_GB2312"/>
          <w:color w:val="000000"/>
          <w:spacing w:val="0"/>
          <w:sz w:val="32"/>
          <w:szCs w:val="32"/>
        </w:rPr>
        <w:t>总量居全市第2</w:t>
      </w:r>
      <w:r>
        <w:rPr>
          <w:rFonts w:hint="eastAsia" w:ascii="Times New Roman" w:hAnsi="Times New Roman" w:eastAsia="仿宋_GB2312" w:cs="仿宋_GB2312"/>
          <w:color w:val="000000"/>
          <w:spacing w:val="0"/>
          <w:sz w:val="32"/>
          <w:szCs w:val="32"/>
          <w:lang w:eastAsia="zh-CN"/>
        </w:rPr>
        <w:t>；</w:t>
      </w:r>
      <w:r>
        <w:rPr>
          <w:rFonts w:hint="eastAsia" w:ascii="Times New Roman" w:hAnsi="Times New Roman" w:eastAsia="仿宋_GB2312" w:cs="仿宋_GB2312"/>
          <w:color w:val="000000"/>
          <w:spacing w:val="0"/>
          <w:sz w:val="32"/>
          <w:szCs w:val="32"/>
        </w:rPr>
        <w:t>规上工业增加值增长</w:t>
      </w:r>
      <w:r>
        <w:rPr>
          <w:rFonts w:hint="eastAsia" w:ascii="Times New Roman" w:hAnsi="Times New Roman" w:eastAsia="仿宋_GB2312" w:cs="仿宋_GB2312"/>
          <w:color w:val="000000"/>
          <w:spacing w:val="0"/>
          <w:sz w:val="32"/>
          <w:szCs w:val="32"/>
          <w:lang w:val="en-US" w:eastAsia="zh-CN"/>
        </w:rPr>
        <w:t>7.5</w:t>
      </w:r>
      <w:r>
        <w:rPr>
          <w:rFonts w:hint="eastAsia" w:ascii="Times New Roman" w:hAnsi="Times New Roman" w:eastAsia="仿宋_GB2312" w:cs="仿宋_GB2312"/>
          <w:color w:val="000000"/>
          <w:spacing w:val="0"/>
          <w:sz w:val="32"/>
          <w:szCs w:val="32"/>
        </w:rPr>
        <w:t>%</w:t>
      </w:r>
      <w:r>
        <w:rPr>
          <w:rFonts w:hint="eastAsia" w:ascii="Times New Roman" w:hAnsi="Times New Roman" w:eastAsia="仿宋_GB2312" w:cs="仿宋_GB2312"/>
          <w:color w:val="000000"/>
          <w:spacing w:val="0"/>
          <w:sz w:val="32"/>
          <w:szCs w:val="32"/>
          <w:lang w:eastAsia="zh-CN"/>
        </w:rPr>
        <w:t>；</w:t>
      </w:r>
      <w:r>
        <w:rPr>
          <w:rFonts w:hint="eastAsia" w:ascii="Times New Roman" w:hAnsi="Times New Roman" w:eastAsia="仿宋_GB2312" w:cs="仿宋_GB2312"/>
          <w:color w:val="000000"/>
          <w:spacing w:val="0"/>
          <w:sz w:val="32"/>
          <w:szCs w:val="32"/>
        </w:rPr>
        <w:t>社会消费品零售总额增长</w:t>
      </w:r>
      <w:r>
        <w:rPr>
          <w:rFonts w:hint="eastAsia" w:ascii="Times New Roman" w:hAnsi="Times New Roman" w:eastAsia="仿宋_GB2312" w:cs="仿宋_GB2312"/>
          <w:color w:val="000000"/>
          <w:spacing w:val="0"/>
          <w:sz w:val="32"/>
          <w:szCs w:val="32"/>
          <w:lang w:val="en-US" w:eastAsia="zh-CN"/>
        </w:rPr>
        <w:t>3.9</w:t>
      </w:r>
      <w:r>
        <w:rPr>
          <w:rFonts w:hint="eastAsia" w:ascii="Times New Roman" w:hAnsi="Times New Roman" w:eastAsia="仿宋_GB2312" w:cs="仿宋_GB2312"/>
          <w:color w:val="000000"/>
          <w:spacing w:val="0"/>
          <w:sz w:val="32"/>
          <w:szCs w:val="32"/>
        </w:rPr>
        <w:t>%。三次产业结构</w:t>
      </w:r>
      <w:r>
        <w:rPr>
          <w:rFonts w:hint="eastAsia" w:ascii="Times New Roman" w:hAnsi="Times New Roman" w:eastAsia="仿宋_GB2312" w:cs="仿宋_GB2312"/>
          <w:color w:val="000000"/>
          <w:spacing w:val="0"/>
          <w:sz w:val="32"/>
          <w:szCs w:val="32"/>
          <w:lang w:val="en-US"/>
        </w:rPr>
        <w:t>12.4</w:t>
      </w:r>
      <w:r>
        <w:rPr>
          <w:rFonts w:hint="eastAsia" w:ascii="Times New Roman" w:hAnsi="Times New Roman" w:eastAsia="仿宋_GB2312" w:cs="仿宋_GB2312"/>
          <w:color w:val="000000"/>
          <w:spacing w:val="0"/>
          <w:sz w:val="32"/>
          <w:szCs w:val="32"/>
          <w:lang w:val="en-US" w:eastAsia="zh-CN"/>
        </w:rPr>
        <w:t>:</w:t>
      </w:r>
      <w:r>
        <w:rPr>
          <w:rFonts w:hint="eastAsia" w:ascii="Times New Roman" w:hAnsi="Times New Roman" w:eastAsia="仿宋_GB2312" w:cs="仿宋_GB2312"/>
          <w:color w:val="000000"/>
          <w:spacing w:val="0"/>
          <w:sz w:val="32"/>
          <w:szCs w:val="32"/>
        </w:rPr>
        <w:t>45.</w:t>
      </w:r>
      <w:r>
        <w:rPr>
          <w:rFonts w:hint="eastAsia" w:ascii="Times New Roman" w:hAnsi="Times New Roman" w:eastAsia="仿宋_GB2312" w:cs="仿宋_GB2312"/>
          <w:color w:val="000000"/>
          <w:spacing w:val="0"/>
          <w:sz w:val="32"/>
          <w:szCs w:val="32"/>
          <w:lang w:val="en-US"/>
        </w:rPr>
        <w:t>2</w:t>
      </w:r>
      <w:r>
        <w:rPr>
          <w:rFonts w:hint="eastAsia" w:ascii="Times New Roman" w:hAnsi="Times New Roman" w:eastAsia="仿宋_GB2312" w:cs="仿宋_GB2312"/>
          <w:color w:val="000000"/>
          <w:spacing w:val="0"/>
          <w:sz w:val="32"/>
          <w:szCs w:val="32"/>
          <w:lang w:val="en-US" w:eastAsia="zh-CN"/>
        </w:rPr>
        <w:t>:</w:t>
      </w:r>
      <w:r>
        <w:rPr>
          <w:rFonts w:hint="eastAsia" w:ascii="Times New Roman" w:hAnsi="Times New Roman" w:eastAsia="仿宋_GB2312" w:cs="仿宋_GB2312"/>
          <w:color w:val="000000"/>
          <w:spacing w:val="0"/>
          <w:sz w:val="32"/>
          <w:szCs w:val="32"/>
          <w:lang w:val="en-US"/>
        </w:rPr>
        <w:t>42.4</w:t>
      </w:r>
      <w:r>
        <w:rPr>
          <w:rFonts w:hint="eastAsia" w:ascii="Times New Roman" w:hAnsi="Times New Roman" w:eastAsia="仿宋_GB2312" w:cs="仿宋_GB2312"/>
          <w:color w:val="000000"/>
          <w:spacing w:val="0"/>
          <w:sz w:val="32"/>
          <w:szCs w:val="32"/>
          <w:lang w:eastAsia="zh-CN"/>
        </w:rPr>
        <w:t>，</w:t>
      </w:r>
      <w:r>
        <w:rPr>
          <w:rFonts w:hint="eastAsia" w:ascii="Times New Roman" w:hAnsi="Times New Roman" w:eastAsia="仿宋_GB2312" w:cs="仿宋_GB2312"/>
          <w:color w:val="000000"/>
          <w:spacing w:val="0"/>
          <w:sz w:val="32"/>
          <w:szCs w:val="32"/>
        </w:rPr>
        <w:t>保持“二三一”型结构，先进制造业支撑持续巩固，现代服务业快速发展。财政收入税收占比88.4%</w:t>
      </w:r>
      <w:r>
        <w:rPr>
          <w:rFonts w:hint="eastAsia" w:ascii="Times New Roman" w:hAnsi="Times New Roman" w:eastAsia="仿宋_GB2312" w:cs="仿宋_GB2312"/>
          <w:color w:val="000000"/>
          <w:spacing w:val="0"/>
          <w:sz w:val="32"/>
          <w:szCs w:val="32"/>
          <w:lang w:eastAsia="zh-CN"/>
        </w:rPr>
        <w:t>，</w:t>
      </w:r>
      <w:r>
        <w:rPr>
          <w:rFonts w:hint="eastAsia" w:ascii="Times New Roman" w:hAnsi="Times New Roman" w:eastAsia="仿宋_GB2312" w:cs="仿宋_GB2312"/>
          <w:color w:val="000000"/>
          <w:spacing w:val="0"/>
          <w:sz w:val="32"/>
          <w:szCs w:val="32"/>
        </w:rPr>
        <w:t>居全市第一，城乡居民人均可支配收入分别增长4.6%、5.3%。</w:t>
      </w:r>
    </w:p>
    <w:p w14:paraId="56659770">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Times New Roman" w:hAnsi="Times New Roman" w:eastAsia="仿宋_GB2312" w:cs="仿宋_GB2312"/>
          <w:b w:val="0"/>
          <w:bCs w:val="0"/>
          <w:color w:val="auto"/>
          <w:spacing w:val="0"/>
          <w:sz w:val="32"/>
          <w:szCs w:val="32"/>
          <w:lang w:eastAsia="zh-CN"/>
        </w:rPr>
      </w:pPr>
      <w:r>
        <w:rPr>
          <w:rFonts w:hint="default" w:ascii="Times New Roman" w:hAnsi="Times New Roman" w:eastAsia="楷体_GB2312" w:cs="Times New Roman"/>
          <w:b/>
          <w:bCs/>
          <w:color w:val="000000"/>
          <w:spacing w:val="0"/>
          <w:sz w:val="32"/>
          <w:szCs w:val="32"/>
          <w:lang w:eastAsia="zh-CN"/>
        </w:rPr>
        <w:t>（</w:t>
      </w:r>
      <w:r>
        <w:rPr>
          <w:rFonts w:hint="default" w:ascii="Times New Roman" w:hAnsi="Times New Roman" w:eastAsia="楷体_GB2312" w:cs="Times New Roman"/>
          <w:b/>
          <w:bCs/>
          <w:color w:val="000000"/>
          <w:spacing w:val="0"/>
          <w:sz w:val="32"/>
          <w:szCs w:val="32"/>
          <w:lang w:val="en-US" w:eastAsia="zh-CN"/>
        </w:rPr>
        <w:t>一</w:t>
      </w:r>
      <w:r>
        <w:rPr>
          <w:rFonts w:hint="default" w:ascii="Times New Roman" w:hAnsi="Times New Roman" w:eastAsia="楷体_GB2312" w:cs="Times New Roman"/>
          <w:b/>
          <w:bCs/>
          <w:color w:val="000000"/>
          <w:spacing w:val="0"/>
          <w:sz w:val="32"/>
          <w:szCs w:val="32"/>
          <w:lang w:eastAsia="zh-CN"/>
        </w:rPr>
        <w:t>）项目建设提质提速</w:t>
      </w:r>
      <w:r>
        <w:rPr>
          <w:rFonts w:hint="default" w:ascii="Times New Roman" w:hAnsi="Times New Roman" w:eastAsia="楷体_GB2312" w:cs="Times New Roman"/>
          <w:b/>
          <w:bCs/>
          <w:color w:val="auto"/>
          <w:spacing w:val="0"/>
          <w:sz w:val="32"/>
          <w:szCs w:val="32"/>
          <w:lang w:eastAsia="zh-CN"/>
        </w:rPr>
        <w:t>。</w:t>
      </w:r>
      <w:r>
        <w:rPr>
          <w:rFonts w:hint="eastAsia" w:ascii="Times New Roman" w:hAnsi="Times New Roman" w:eastAsia="仿宋_GB2312" w:cs="仿宋_GB2312"/>
          <w:b w:val="0"/>
          <w:bCs w:val="0"/>
          <w:color w:val="000000" w:themeColor="text1"/>
          <w:spacing w:val="0"/>
          <w:sz w:val="32"/>
          <w:szCs w:val="32"/>
          <w:lang w:eastAsia="zh-CN"/>
          <w14:textFill>
            <w14:solidFill>
              <w14:schemeClr w14:val="tx1"/>
            </w14:solidFill>
          </w14:textFill>
        </w:rPr>
        <w:t>抢抓“两重”“两新”等政策机遇，争取中央预算内、超长期特别国债、专项债等资金13.7亿元。坚持项目为王，完善“一项目一清单一台账”推进机制，72个七类重点项目累计完成投资</w:t>
      </w:r>
      <w:r>
        <w:rPr>
          <w:rFonts w:hint="eastAsia" w:ascii="Times New Roman" w:hAnsi="Times New Roman" w:eastAsia="仿宋_GB2312" w:cs="仿宋_GB2312"/>
          <w:b w:val="0"/>
          <w:bCs w:val="0"/>
          <w:color w:val="000000" w:themeColor="text1"/>
          <w:spacing w:val="0"/>
          <w:sz w:val="32"/>
          <w:szCs w:val="32"/>
          <w:lang w:val="en-US" w:eastAsia="zh-CN"/>
          <w14:textFill>
            <w14:solidFill>
              <w14:schemeClr w14:val="tx1"/>
            </w14:solidFill>
          </w14:textFill>
        </w:rPr>
        <w:t>213</w:t>
      </w:r>
      <w:r>
        <w:rPr>
          <w:rFonts w:hint="eastAsia" w:ascii="Times New Roman" w:hAnsi="Times New Roman" w:eastAsia="仿宋_GB2312" w:cs="仿宋_GB2312"/>
          <w:b w:val="0"/>
          <w:bCs w:val="0"/>
          <w:color w:val="000000" w:themeColor="text1"/>
          <w:spacing w:val="0"/>
          <w:sz w:val="32"/>
          <w:szCs w:val="32"/>
          <w:lang w:eastAsia="zh-CN"/>
          <w14:textFill>
            <w14:solidFill>
              <w14:schemeClr w14:val="tx1"/>
            </w14:solidFill>
          </w14:textFill>
        </w:rPr>
        <w:t>亿元，</w:t>
      </w:r>
      <w:r>
        <w:rPr>
          <w:rFonts w:hint="eastAsia" w:ascii="Times New Roman" w:hAnsi="Times New Roman" w:eastAsia="仿宋_GB2312" w:cs="仿宋_GB2312"/>
          <w:b w:val="0"/>
          <w:bCs w:val="0"/>
          <w:color w:val="auto"/>
          <w:spacing w:val="0"/>
          <w:sz w:val="32"/>
          <w:szCs w:val="32"/>
          <w:lang w:eastAsia="zh-CN"/>
        </w:rPr>
        <w:t>鼎润三期、铂睿特触控显示等项目当年签约、建成投产，</w:t>
      </w:r>
      <w:r>
        <w:rPr>
          <w:rFonts w:hint="eastAsia" w:ascii="Times New Roman" w:hAnsi="Times New Roman" w:eastAsia="仿宋_GB2312" w:cs="仿宋_GB2312"/>
          <w:b w:val="0"/>
          <w:bCs w:val="0"/>
          <w:strike w:val="0"/>
          <w:dstrike w:val="0"/>
          <w:color w:val="auto"/>
          <w:spacing w:val="0"/>
          <w:sz w:val="32"/>
          <w:szCs w:val="32"/>
          <w:lang w:eastAsia="zh-CN"/>
        </w:rPr>
        <w:t>陕煤电力“两个一体化”、</w:t>
      </w:r>
      <w:r>
        <w:rPr>
          <w:rFonts w:hint="eastAsia" w:ascii="Times New Roman" w:hAnsi="Times New Roman" w:eastAsia="仿宋_GB2312" w:cs="仿宋_GB2312"/>
          <w:b w:val="0"/>
          <w:bCs w:val="0"/>
          <w:color w:val="auto"/>
          <w:spacing w:val="0"/>
          <w:sz w:val="32"/>
          <w:szCs w:val="32"/>
          <w:lang w:eastAsia="zh-CN"/>
        </w:rPr>
        <w:t>出山店水库灌区工程、高标准农田等一批引领性、支撑性重大项目快速推进，西大岗灌区工程纳入</w:t>
      </w:r>
      <w:r>
        <w:rPr>
          <w:rFonts w:hint="eastAsia"/>
        </w:rPr>
        <w:t>农业强省规划</w:t>
      </w:r>
      <w:r>
        <w:rPr>
          <w:rFonts w:hint="eastAsia" w:ascii="Times New Roman" w:hAnsi="Times New Roman" w:eastAsia="仿宋_GB2312" w:cs="仿宋_GB2312"/>
          <w:b w:val="0"/>
          <w:bCs w:val="0"/>
          <w:color w:val="auto"/>
          <w:spacing w:val="0"/>
          <w:sz w:val="32"/>
          <w:szCs w:val="32"/>
          <w:lang w:eastAsia="zh-CN"/>
        </w:rPr>
        <w:t>、百亿斤粮食产能提升工程。把招商引资作为经济的</w:t>
      </w:r>
      <w:r>
        <w:rPr>
          <w:rFonts w:hint="eastAsia" w:ascii="Times New Roman" w:hAnsi="Times New Roman" w:eastAsia="仿宋_GB2312" w:cs="仿宋_GB2312"/>
          <w:b w:val="0"/>
          <w:bCs w:val="0"/>
          <w:color w:val="000000" w:themeColor="text1"/>
          <w:spacing w:val="0"/>
          <w:sz w:val="32"/>
          <w:szCs w:val="32"/>
          <w:lang w:eastAsia="zh-CN"/>
          <w14:textFill>
            <w14:solidFill>
              <w14:schemeClr w14:val="tx1"/>
            </w14:solidFill>
          </w14:textFill>
        </w:rPr>
        <w:t>“头号工程”</w:t>
      </w:r>
      <w:r>
        <w:rPr>
          <w:rFonts w:hint="eastAsia" w:ascii="Times New Roman" w:hAnsi="Times New Roman" w:eastAsia="仿宋_GB2312" w:cs="仿宋_GB2312"/>
          <w:b w:val="0"/>
          <w:bCs w:val="0"/>
          <w:color w:val="auto"/>
          <w:spacing w:val="0"/>
          <w:sz w:val="32"/>
          <w:szCs w:val="32"/>
          <w:lang w:eastAsia="zh-CN"/>
        </w:rPr>
        <w:t>，深化拓展苏信合作，大力开展精准招商、以商招商、产业链招商，借力信商大会举办新能源装备制造、低空经济产业发展专题对接会，</w:t>
      </w:r>
      <w:r>
        <w:rPr>
          <w:rFonts w:hint="eastAsia"/>
        </w:rPr>
        <w:t>签约落地超亿元主导产业项目</w:t>
      </w:r>
      <w:r>
        <w:rPr>
          <w:rFonts w:hint="eastAsia" w:ascii="Times New Roman" w:hAnsi="Times New Roman" w:eastAsia="仿宋_GB2312"/>
        </w:rPr>
        <w:t>13</w:t>
      </w:r>
      <w:r>
        <w:rPr>
          <w:rFonts w:hint="eastAsia"/>
        </w:rPr>
        <w:t>个、</w:t>
      </w:r>
      <w:r>
        <w:rPr>
          <w:rFonts w:hint="eastAsia" w:ascii="Times New Roman" w:hAnsi="Times New Roman" w:eastAsia="仿宋_GB2312"/>
        </w:rPr>
        <w:t>10</w:t>
      </w:r>
      <w:r>
        <w:rPr>
          <w:rFonts w:hint="eastAsia"/>
        </w:rPr>
        <w:t>亿元以上项目</w:t>
      </w:r>
      <w:r>
        <w:rPr>
          <w:rFonts w:hint="eastAsia" w:ascii="Times New Roman" w:hAnsi="Times New Roman" w:eastAsia="仿宋_GB2312"/>
        </w:rPr>
        <w:t>2</w:t>
      </w:r>
      <w:r>
        <w:rPr>
          <w:rFonts w:hint="eastAsia"/>
        </w:rPr>
        <w:t>个</w:t>
      </w:r>
      <w:r>
        <w:rPr>
          <w:rFonts w:hint="eastAsia" w:ascii="Times New Roman" w:hAnsi="Times New Roman" w:eastAsia="仿宋_GB2312" w:cs="仿宋_GB2312"/>
          <w:b w:val="0"/>
          <w:bCs w:val="0"/>
          <w:color w:val="000000" w:themeColor="text1"/>
          <w:spacing w:val="0"/>
          <w:sz w:val="32"/>
          <w:szCs w:val="32"/>
          <w:lang w:eastAsia="zh-CN"/>
          <w14:textFill>
            <w14:solidFill>
              <w14:schemeClr w14:val="tx1"/>
            </w14:solidFill>
          </w14:textFill>
        </w:rPr>
        <w:t>。</w:t>
      </w:r>
    </w:p>
    <w:p w14:paraId="40A4AA6D">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Times New Roman" w:hAnsi="Times New Roman" w:eastAsia="仿宋_GB2312" w:cs="仿宋_GB2312"/>
          <w:color w:val="000000"/>
          <w:spacing w:val="0"/>
          <w:sz w:val="32"/>
          <w:szCs w:val="32"/>
        </w:rPr>
      </w:pPr>
      <w:r>
        <w:rPr>
          <w:rStyle w:val="12"/>
          <w:rFonts w:hint="default" w:ascii="Times New Roman" w:hAnsi="Times New Roman"/>
          <w:sz w:val="32"/>
          <w:szCs w:val="32"/>
          <w:lang w:eastAsia="zh-CN"/>
        </w:rPr>
        <w:t>（</w:t>
      </w:r>
      <w:r>
        <w:rPr>
          <w:rStyle w:val="12"/>
          <w:rFonts w:hint="default" w:ascii="Times New Roman" w:hAnsi="Times New Roman"/>
          <w:sz w:val="32"/>
          <w:szCs w:val="32"/>
          <w:lang w:val="en-US" w:eastAsia="zh-CN"/>
        </w:rPr>
        <w:t>二</w:t>
      </w:r>
      <w:r>
        <w:rPr>
          <w:rStyle w:val="12"/>
          <w:rFonts w:hint="default" w:ascii="Times New Roman" w:hAnsi="Times New Roman"/>
          <w:sz w:val="32"/>
          <w:szCs w:val="32"/>
          <w:lang w:eastAsia="zh-CN"/>
        </w:rPr>
        <w:t>）</w:t>
      </w:r>
      <w:r>
        <w:rPr>
          <w:rStyle w:val="12"/>
          <w:rFonts w:hint="default" w:ascii="Times New Roman" w:hAnsi="Times New Roman"/>
          <w:sz w:val="32"/>
          <w:szCs w:val="32"/>
        </w:rPr>
        <w:t>产业链群聚势增效。</w:t>
      </w:r>
      <w:r>
        <w:rPr>
          <w:rFonts w:hint="eastAsia" w:ascii="Times New Roman" w:hAnsi="Times New Roman" w:eastAsia="仿宋_GB2312" w:cs="仿宋_GB2312"/>
          <w:color w:val="000000"/>
          <w:spacing w:val="0"/>
          <w:sz w:val="32"/>
          <w:szCs w:val="32"/>
        </w:rPr>
        <w:t>坚持把制造业高质量发展作为主攻方向，聚焦延链补链强链，电子信息、钢铁及精深加工、装备制造三大主导产业链产值分别增长10.3%、8.2%和3.3%</w:t>
      </w:r>
      <w:r>
        <w:rPr>
          <w:rFonts w:hint="eastAsia" w:ascii="Times New Roman" w:hAnsi="Times New Roman" w:eastAsia="仿宋_GB2312" w:cs="仿宋_GB2312"/>
          <w:color w:val="000000"/>
          <w:spacing w:val="0"/>
          <w:sz w:val="32"/>
          <w:szCs w:val="32"/>
          <w:lang w:eastAsia="zh-CN"/>
        </w:rPr>
        <w:t>；</w:t>
      </w:r>
      <w:r>
        <w:rPr>
          <w:rFonts w:hint="eastAsia" w:ascii="Times New Roman" w:hAnsi="Times New Roman" w:eastAsia="仿宋_GB2312" w:cs="仿宋_GB2312"/>
          <w:color w:val="000000"/>
          <w:spacing w:val="0"/>
          <w:sz w:val="32"/>
          <w:szCs w:val="32"/>
        </w:rPr>
        <w:t>新建新能源装备、航天精工等专业化园区，工业投资同比增长</w:t>
      </w:r>
      <w:r>
        <w:rPr>
          <w:rFonts w:hint="eastAsia" w:ascii="Times New Roman" w:hAnsi="Times New Roman" w:eastAsia="仿宋_GB2312" w:cs="仿宋_GB2312"/>
          <w:color w:val="000000"/>
          <w:spacing w:val="0"/>
          <w:sz w:val="32"/>
          <w:szCs w:val="32"/>
          <w:lang w:val="en-US"/>
        </w:rPr>
        <w:t>37.7</w:t>
      </w:r>
      <w:r>
        <w:rPr>
          <w:rFonts w:hint="eastAsia" w:ascii="Times New Roman" w:hAnsi="Times New Roman" w:eastAsia="仿宋_GB2312" w:cs="仿宋_GB2312"/>
          <w:color w:val="000000"/>
          <w:spacing w:val="0"/>
          <w:sz w:val="32"/>
          <w:szCs w:val="32"/>
        </w:rPr>
        <w:t>%</w:t>
      </w:r>
      <w:r>
        <w:rPr>
          <w:rFonts w:hint="eastAsia" w:ascii="Times New Roman" w:hAnsi="Times New Roman" w:eastAsia="仿宋_GB2312" w:cs="仿宋_GB2312"/>
          <w:color w:val="000000"/>
          <w:spacing w:val="0"/>
          <w:sz w:val="32"/>
          <w:szCs w:val="32"/>
          <w:lang w:eastAsia="zh-CN"/>
        </w:rPr>
        <w:t>，</w:t>
      </w:r>
      <w:r>
        <w:rPr>
          <w:rFonts w:hint="eastAsia" w:ascii="Times New Roman" w:hAnsi="Times New Roman" w:eastAsia="仿宋_GB2312" w:cs="仿宋_GB2312"/>
          <w:color w:val="000000"/>
          <w:spacing w:val="0"/>
          <w:sz w:val="32"/>
          <w:szCs w:val="32"/>
        </w:rPr>
        <w:t>总量居全市首位</w:t>
      </w:r>
      <w:r>
        <w:rPr>
          <w:rFonts w:hint="eastAsia" w:ascii="Times New Roman" w:hAnsi="Times New Roman" w:eastAsia="仿宋_GB2312" w:cs="仿宋_GB2312"/>
          <w:color w:val="000000"/>
          <w:spacing w:val="0"/>
          <w:sz w:val="32"/>
          <w:szCs w:val="32"/>
          <w:lang w:eastAsia="zh-CN"/>
        </w:rPr>
        <w:t>；</w:t>
      </w:r>
      <w:r>
        <w:rPr>
          <w:rFonts w:hint="eastAsia" w:ascii="Times New Roman" w:hAnsi="Times New Roman" w:eastAsia="仿宋_GB2312" w:cs="仿宋_GB2312"/>
          <w:color w:val="000000"/>
          <w:spacing w:val="0"/>
          <w:sz w:val="32"/>
          <w:szCs w:val="32"/>
        </w:rPr>
        <w:t>航空精密部件产业集群入选国家级特色产业集群，信阳高新区获评国家级安全应急装备产业特色园区；扎实做好科技型企业和高新技术企业培育孵化，</w:t>
      </w:r>
      <w:r>
        <w:rPr>
          <w:rFonts w:hint="eastAsia" w:ascii="Times New Roman" w:hAnsi="Times New Roman" w:eastAsia="仿宋_GB2312" w:cs="仿宋_GB2312"/>
          <w:spacing w:val="0"/>
          <w:sz w:val="32"/>
          <w:szCs w:val="32"/>
        </w:rPr>
        <w:t>新认定科技型、创新型企业和高新技术企业83家，中联交通、拓普艾科技分别获评省级智能工厂、智能车间，</w:t>
      </w:r>
      <w:r>
        <w:rPr>
          <w:rFonts w:hint="eastAsia" w:ascii="Times New Roman" w:hAnsi="Times New Roman" w:eastAsia="仿宋_GB2312" w:cs="仿宋_GB2312"/>
          <w:color w:val="000000"/>
          <w:spacing w:val="0"/>
          <w:sz w:val="32"/>
          <w:szCs w:val="32"/>
        </w:rPr>
        <w:t>鼎润科技成功入选国家级专精特新“小巨人”企业；信钢公司2号高炉顺利投产并实现超低排放，明阳、鼎润、舜宇等7家企业源网荷储一体化示范项目投入运营</w:t>
      </w:r>
      <w:r>
        <w:rPr>
          <w:rFonts w:hint="eastAsia" w:ascii="Times New Roman" w:hAnsi="Times New Roman" w:eastAsia="仿宋_GB2312" w:cs="仿宋_GB2312"/>
          <w:color w:val="000000"/>
          <w:spacing w:val="0"/>
          <w:sz w:val="32"/>
          <w:szCs w:val="32"/>
          <w:lang w:eastAsia="zh-CN"/>
        </w:rPr>
        <w:t>，</w:t>
      </w:r>
      <w:r>
        <w:rPr>
          <w:rFonts w:hint="eastAsia" w:ascii="Times New Roman" w:hAnsi="Times New Roman" w:eastAsia="仿宋_GB2312" w:cs="仿宋_GB2312"/>
          <w:color w:val="000000"/>
          <w:spacing w:val="0"/>
          <w:sz w:val="32"/>
          <w:szCs w:val="32"/>
          <w:lang w:val="en-US" w:eastAsia="zh-CN"/>
        </w:rPr>
        <w:t>成功</w:t>
      </w:r>
      <w:r>
        <w:rPr>
          <w:rFonts w:hint="eastAsia" w:ascii="Times New Roman" w:hAnsi="Times New Roman" w:eastAsia="仿宋_GB2312" w:cs="仿宋_GB2312"/>
          <w:spacing w:val="0"/>
          <w:sz w:val="32"/>
          <w:szCs w:val="32"/>
        </w:rPr>
        <w:t>入选省制造业转型升级试点县。</w:t>
      </w:r>
    </w:p>
    <w:p w14:paraId="540B1C6A">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Times New Roman" w:hAnsi="Times New Roman" w:eastAsia="仿宋_GB2312" w:cs="仿宋_GB2312"/>
          <w:color w:val="000000"/>
          <w:spacing w:val="0"/>
          <w:sz w:val="32"/>
          <w:szCs w:val="32"/>
        </w:rPr>
      </w:pPr>
      <w:r>
        <w:rPr>
          <w:rStyle w:val="12"/>
          <w:rFonts w:hint="default" w:ascii="Times New Roman" w:hAnsi="Times New Roman"/>
          <w:sz w:val="32"/>
          <w:szCs w:val="32"/>
          <w:lang w:eastAsia="zh-CN"/>
        </w:rPr>
        <w:t>（</w:t>
      </w:r>
      <w:r>
        <w:rPr>
          <w:rStyle w:val="12"/>
          <w:rFonts w:hint="default" w:ascii="Times New Roman" w:hAnsi="Times New Roman"/>
          <w:sz w:val="32"/>
          <w:szCs w:val="32"/>
          <w:lang w:val="en-US" w:eastAsia="zh-CN"/>
        </w:rPr>
        <w:t>三</w:t>
      </w:r>
      <w:r>
        <w:rPr>
          <w:rStyle w:val="12"/>
          <w:rFonts w:hint="default" w:ascii="Times New Roman" w:hAnsi="Times New Roman"/>
          <w:sz w:val="32"/>
          <w:szCs w:val="32"/>
          <w:lang w:eastAsia="zh-CN"/>
        </w:rPr>
        <w:t>）</w:t>
      </w:r>
      <w:r>
        <w:rPr>
          <w:rStyle w:val="12"/>
          <w:rFonts w:hint="default" w:ascii="Times New Roman" w:hAnsi="Times New Roman"/>
          <w:sz w:val="32"/>
          <w:szCs w:val="32"/>
        </w:rPr>
        <w:t>市场动能持续释放。</w:t>
      </w:r>
      <w:r>
        <w:rPr>
          <w:rFonts w:hint="eastAsia" w:ascii="Times New Roman" w:hAnsi="Times New Roman" w:eastAsia="仿宋_GB2312" w:cs="仿宋_GB2312"/>
          <w:b w:val="0"/>
          <w:bCs w:val="0"/>
          <w:color w:val="000000"/>
          <w:spacing w:val="0"/>
          <w:sz w:val="32"/>
          <w:szCs w:val="32"/>
          <w:lang w:val="en-US" w:eastAsia="zh-CN"/>
        </w:rPr>
        <w:t>积极融入服务</w:t>
      </w:r>
      <w:r>
        <w:rPr>
          <w:rFonts w:hint="eastAsia" w:ascii="Times New Roman" w:hAnsi="Times New Roman" w:eastAsia="仿宋_GB2312" w:cs="仿宋_GB2312"/>
          <w:b w:val="0"/>
          <w:bCs w:val="0"/>
          <w:color w:val="000000"/>
          <w:spacing w:val="0"/>
          <w:sz w:val="32"/>
          <w:szCs w:val="32"/>
        </w:rPr>
        <w:t>全国统一大市场</w:t>
      </w:r>
      <w:r>
        <w:rPr>
          <w:rFonts w:hint="eastAsia" w:ascii="Times New Roman" w:hAnsi="Times New Roman" w:eastAsia="仿宋_GB2312" w:cs="仿宋_GB2312"/>
          <w:b w:val="0"/>
          <w:bCs w:val="0"/>
          <w:color w:val="000000"/>
          <w:spacing w:val="0"/>
          <w:sz w:val="32"/>
          <w:szCs w:val="32"/>
          <w:lang w:eastAsia="zh-CN"/>
        </w:rPr>
        <w:t>，</w:t>
      </w:r>
      <w:r>
        <w:rPr>
          <w:rFonts w:hint="eastAsia" w:ascii="Times New Roman" w:hAnsi="Times New Roman" w:eastAsia="仿宋_GB2312" w:cs="仿宋_GB2312"/>
          <w:b w:val="0"/>
          <w:bCs w:val="0"/>
          <w:color w:val="000000"/>
          <w:spacing w:val="0"/>
          <w:sz w:val="32"/>
          <w:szCs w:val="32"/>
          <w:lang w:val="en-US" w:eastAsia="zh-CN"/>
        </w:rPr>
        <w:t>落实</w:t>
      </w:r>
      <w:r>
        <w:rPr>
          <w:rFonts w:hint="eastAsia" w:ascii="Times New Roman" w:hAnsi="Times New Roman" w:eastAsia="仿宋_GB2312" w:cs="仿宋_GB2312"/>
          <w:color w:val="000000"/>
          <w:spacing w:val="0"/>
          <w:sz w:val="32"/>
          <w:szCs w:val="32"/>
          <w:lang w:eastAsia="zh-CN"/>
        </w:rPr>
        <w:t>“</w:t>
      </w:r>
      <w:r>
        <w:rPr>
          <w:rFonts w:hint="eastAsia" w:ascii="Times New Roman" w:hAnsi="Times New Roman" w:eastAsia="仿宋_GB2312" w:cs="仿宋_GB2312"/>
          <w:color w:val="000000"/>
          <w:spacing w:val="0"/>
          <w:sz w:val="32"/>
          <w:szCs w:val="32"/>
        </w:rPr>
        <w:t>五统一、一开放</w:t>
      </w:r>
      <w:r>
        <w:rPr>
          <w:rFonts w:hint="eastAsia" w:ascii="Times New Roman" w:hAnsi="Times New Roman" w:eastAsia="仿宋_GB2312" w:cs="仿宋_GB2312"/>
          <w:color w:val="000000"/>
          <w:spacing w:val="0"/>
          <w:sz w:val="32"/>
          <w:szCs w:val="32"/>
          <w:lang w:eastAsia="zh-CN"/>
        </w:rPr>
        <w:t>”</w:t>
      </w:r>
      <w:r>
        <w:rPr>
          <w:rFonts w:hint="eastAsia" w:ascii="Times New Roman" w:hAnsi="Times New Roman" w:eastAsia="仿宋_GB2312" w:cs="仿宋_GB2312"/>
          <w:color w:val="000000"/>
          <w:spacing w:val="0"/>
          <w:sz w:val="32"/>
          <w:szCs w:val="32"/>
        </w:rPr>
        <w:t>基本要求，围绕打造</w:t>
      </w:r>
      <w:r>
        <w:rPr>
          <w:rFonts w:hint="eastAsia" w:ascii="Times New Roman" w:hAnsi="Times New Roman" w:eastAsia="仿宋_GB2312" w:cs="仿宋_GB2312"/>
          <w:color w:val="000000"/>
          <w:spacing w:val="0"/>
          <w:sz w:val="32"/>
          <w:szCs w:val="32"/>
          <w:lang w:eastAsia="zh-CN"/>
        </w:rPr>
        <w:t>“</w:t>
      </w:r>
      <w:r>
        <w:rPr>
          <w:rFonts w:hint="eastAsia" w:ascii="Times New Roman" w:hAnsi="Times New Roman" w:eastAsia="仿宋_GB2312" w:cs="仿宋_GB2312"/>
          <w:color w:val="000000"/>
          <w:spacing w:val="0"/>
          <w:sz w:val="32"/>
          <w:szCs w:val="32"/>
        </w:rPr>
        <w:t>零干扰</w:t>
      </w:r>
      <w:r>
        <w:rPr>
          <w:rFonts w:hint="eastAsia" w:ascii="Times New Roman" w:hAnsi="Times New Roman" w:eastAsia="仿宋_GB2312" w:cs="仿宋_GB2312"/>
          <w:color w:val="000000"/>
          <w:spacing w:val="0"/>
          <w:sz w:val="32"/>
          <w:szCs w:val="32"/>
          <w:lang w:eastAsia="zh-CN"/>
        </w:rPr>
        <w:t>”</w:t>
      </w:r>
      <w:r>
        <w:rPr>
          <w:rFonts w:hint="eastAsia" w:ascii="Times New Roman" w:hAnsi="Times New Roman" w:eastAsia="仿宋_GB2312" w:cs="仿宋_GB2312"/>
          <w:color w:val="000000"/>
          <w:spacing w:val="0"/>
          <w:sz w:val="32"/>
          <w:szCs w:val="32"/>
        </w:rPr>
        <w:t>法治环境、</w:t>
      </w:r>
      <w:r>
        <w:rPr>
          <w:rFonts w:hint="eastAsia" w:ascii="Times New Roman" w:hAnsi="Times New Roman" w:eastAsia="仿宋_GB2312" w:cs="仿宋_GB2312"/>
          <w:color w:val="000000"/>
          <w:spacing w:val="0"/>
          <w:sz w:val="32"/>
          <w:szCs w:val="32"/>
          <w:lang w:eastAsia="zh-CN"/>
        </w:rPr>
        <w:t>“</w:t>
      </w:r>
      <w:r>
        <w:rPr>
          <w:rFonts w:hint="eastAsia" w:ascii="Times New Roman" w:hAnsi="Times New Roman" w:eastAsia="仿宋_GB2312" w:cs="仿宋_GB2312"/>
          <w:color w:val="000000"/>
          <w:spacing w:val="0"/>
          <w:sz w:val="32"/>
          <w:szCs w:val="32"/>
        </w:rPr>
        <w:t>零障碍</w:t>
      </w:r>
      <w:r>
        <w:rPr>
          <w:rFonts w:hint="eastAsia" w:ascii="Times New Roman" w:hAnsi="Times New Roman" w:eastAsia="仿宋_GB2312" w:cs="仿宋_GB2312"/>
          <w:color w:val="000000"/>
          <w:spacing w:val="0"/>
          <w:sz w:val="32"/>
          <w:szCs w:val="32"/>
          <w:lang w:eastAsia="zh-CN"/>
        </w:rPr>
        <w:t>”</w:t>
      </w:r>
      <w:r>
        <w:rPr>
          <w:rFonts w:hint="eastAsia" w:ascii="Times New Roman" w:hAnsi="Times New Roman" w:eastAsia="仿宋_GB2312" w:cs="仿宋_GB2312"/>
          <w:color w:val="000000"/>
          <w:spacing w:val="0"/>
          <w:sz w:val="32"/>
          <w:szCs w:val="32"/>
        </w:rPr>
        <w:t>政务环境、</w:t>
      </w:r>
      <w:r>
        <w:rPr>
          <w:rFonts w:hint="eastAsia" w:ascii="Times New Roman" w:hAnsi="Times New Roman" w:eastAsia="仿宋_GB2312" w:cs="仿宋_GB2312"/>
          <w:color w:val="000000"/>
          <w:spacing w:val="0"/>
          <w:sz w:val="32"/>
          <w:szCs w:val="32"/>
          <w:lang w:eastAsia="zh-CN"/>
        </w:rPr>
        <w:t>“</w:t>
      </w:r>
      <w:r>
        <w:rPr>
          <w:rFonts w:hint="eastAsia" w:ascii="Times New Roman" w:hAnsi="Times New Roman" w:eastAsia="仿宋_GB2312" w:cs="仿宋_GB2312"/>
          <w:color w:val="000000"/>
          <w:spacing w:val="0"/>
          <w:sz w:val="32"/>
          <w:szCs w:val="32"/>
        </w:rPr>
        <w:t>零延误</w:t>
      </w:r>
      <w:r>
        <w:rPr>
          <w:rFonts w:hint="eastAsia" w:ascii="Times New Roman" w:hAnsi="Times New Roman" w:eastAsia="仿宋_GB2312" w:cs="仿宋_GB2312"/>
          <w:color w:val="000000"/>
          <w:spacing w:val="0"/>
          <w:sz w:val="32"/>
          <w:szCs w:val="32"/>
          <w:lang w:eastAsia="zh-CN"/>
        </w:rPr>
        <w:t>”</w:t>
      </w:r>
      <w:r>
        <w:rPr>
          <w:rFonts w:hint="eastAsia" w:ascii="Times New Roman" w:hAnsi="Times New Roman" w:eastAsia="仿宋_GB2312" w:cs="仿宋_GB2312"/>
          <w:color w:val="000000"/>
          <w:spacing w:val="0"/>
          <w:sz w:val="32"/>
          <w:szCs w:val="32"/>
        </w:rPr>
        <w:t>办事环境，持续深化</w:t>
      </w:r>
      <w:r>
        <w:rPr>
          <w:rFonts w:hint="eastAsia" w:ascii="Times New Roman" w:hAnsi="Times New Roman" w:eastAsia="仿宋_GB2312" w:cs="仿宋_GB2312"/>
          <w:color w:val="000000"/>
          <w:spacing w:val="0"/>
          <w:sz w:val="32"/>
          <w:szCs w:val="32"/>
          <w:lang w:eastAsia="zh-CN"/>
        </w:rPr>
        <w:t>“</w:t>
      </w:r>
      <w:r>
        <w:rPr>
          <w:rFonts w:hint="eastAsia" w:ascii="Times New Roman" w:hAnsi="Times New Roman" w:eastAsia="仿宋_GB2312" w:cs="仿宋_GB2312"/>
          <w:color w:val="000000"/>
          <w:spacing w:val="0"/>
          <w:sz w:val="32"/>
          <w:szCs w:val="32"/>
        </w:rPr>
        <w:t>放管服</w:t>
      </w:r>
      <w:r>
        <w:rPr>
          <w:rFonts w:hint="eastAsia" w:ascii="Times New Roman" w:hAnsi="Times New Roman" w:eastAsia="仿宋_GB2312" w:cs="仿宋_GB2312"/>
          <w:color w:val="000000"/>
          <w:spacing w:val="0"/>
          <w:sz w:val="32"/>
          <w:szCs w:val="32"/>
          <w:lang w:eastAsia="zh-CN"/>
        </w:rPr>
        <w:t>”</w:t>
      </w:r>
      <w:r>
        <w:rPr>
          <w:rFonts w:hint="eastAsia" w:ascii="Times New Roman" w:hAnsi="Times New Roman" w:eastAsia="仿宋_GB2312" w:cs="仿宋_GB2312"/>
          <w:color w:val="000000"/>
          <w:spacing w:val="0"/>
          <w:sz w:val="32"/>
          <w:szCs w:val="32"/>
        </w:rPr>
        <w:t>改革，深入推进</w:t>
      </w:r>
      <w:r>
        <w:rPr>
          <w:rFonts w:hint="eastAsia" w:ascii="Times New Roman" w:hAnsi="Times New Roman" w:eastAsia="仿宋_GB2312" w:cs="仿宋_GB2312"/>
          <w:color w:val="000000"/>
          <w:spacing w:val="0"/>
          <w:sz w:val="32"/>
          <w:szCs w:val="32"/>
          <w:lang w:eastAsia="zh-CN"/>
        </w:rPr>
        <w:t>“</w:t>
      </w:r>
      <w:r>
        <w:rPr>
          <w:rFonts w:hint="eastAsia" w:ascii="Times New Roman" w:hAnsi="Times New Roman" w:eastAsia="仿宋_GB2312" w:cs="仿宋_GB2312"/>
          <w:color w:val="000000"/>
          <w:spacing w:val="0"/>
          <w:sz w:val="32"/>
          <w:szCs w:val="32"/>
        </w:rPr>
        <w:t>高效办成一件事</w:t>
      </w:r>
      <w:r>
        <w:rPr>
          <w:rFonts w:hint="eastAsia" w:ascii="Times New Roman" w:hAnsi="Times New Roman" w:eastAsia="仿宋_GB2312" w:cs="仿宋_GB2312"/>
          <w:color w:val="000000"/>
          <w:spacing w:val="0"/>
          <w:sz w:val="32"/>
          <w:szCs w:val="32"/>
          <w:lang w:eastAsia="zh-CN"/>
        </w:rPr>
        <w:t>”</w:t>
      </w:r>
      <w:r>
        <w:rPr>
          <w:rFonts w:hint="eastAsia" w:ascii="Times New Roman" w:hAnsi="Times New Roman" w:eastAsia="仿宋_GB2312" w:cs="仿宋_GB2312"/>
          <w:color w:val="000000"/>
          <w:spacing w:val="0"/>
          <w:sz w:val="32"/>
          <w:szCs w:val="32"/>
        </w:rPr>
        <w:t>改革，</w:t>
      </w:r>
      <w:r>
        <w:rPr>
          <w:rFonts w:hint="eastAsia" w:ascii="Times New Roman" w:hAnsi="Times New Roman" w:eastAsia="仿宋_GB2312" w:cs="仿宋_GB2312"/>
          <w:spacing w:val="0"/>
          <w:sz w:val="32"/>
          <w:szCs w:val="32"/>
        </w:rPr>
        <w:t>全年新增市场主体4420家，1704项政务服务事项实现</w:t>
      </w:r>
      <w:r>
        <w:rPr>
          <w:rFonts w:hint="eastAsia" w:ascii="Times New Roman" w:hAnsi="Times New Roman" w:eastAsia="仿宋_GB2312" w:cs="仿宋_GB2312"/>
          <w:spacing w:val="0"/>
          <w:sz w:val="32"/>
          <w:szCs w:val="32"/>
          <w:lang w:eastAsia="zh-CN"/>
        </w:rPr>
        <w:t>“</w:t>
      </w:r>
      <w:r>
        <w:rPr>
          <w:rFonts w:hint="eastAsia" w:ascii="Times New Roman" w:hAnsi="Times New Roman" w:eastAsia="仿宋_GB2312" w:cs="仿宋_GB2312"/>
          <w:spacing w:val="0"/>
          <w:sz w:val="32"/>
          <w:szCs w:val="32"/>
        </w:rPr>
        <w:t>全程网办</w:t>
      </w:r>
      <w:r>
        <w:rPr>
          <w:rFonts w:hint="eastAsia" w:ascii="Times New Roman" w:hAnsi="Times New Roman" w:eastAsia="仿宋_GB2312" w:cs="仿宋_GB2312"/>
          <w:spacing w:val="0"/>
          <w:sz w:val="32"/>
          <w:szCs w:val="32"/>
          <w:lang w:eastAsia="zh-CN"/>
        </w:rPr>
        <w:t>”，</w:t>
      </w:r>
      <w:r>
        <w:rPr>
          <w:rFonts w:hint="eastAsia" w:ascii="Times New Roman" w:hAnsi="Times New Roman" w:eastAsia="仿宋_GB2312" w:cs="仿宋_GB2312"/>
          <w:color w:val="000000"/>
          <w:spacing w:val="0"/>
          <w:sz w:val="32"/>
          <w:szCs w:val="32"/>
        </w:rPr>
        <w:t>42个事项实现容缺办理，37个事项实现承诺办理，</w:t>
      </w:r>
      <w:r>
        <w:rPr>
          <w:rFonts w:hint="eastAsia" w:ascii="Times New Roman" w:hAnsi="Times New Roman" w:eastAsia="仿宋_GB2312" w:cs="仿宋_GB2312"/>
          <w:spacing w:val="0"/>
          <w:sz w:val="32"/>
          <w:szCs w:val="32"/>
        </w:rPr>
        <w:t>联审联批工作获市通报表扬；积极开展以企观政服务企业大走访活动，落实项目包保、纾难解困等机制，</w:t>
      </w:r>
      <w:r>
        <w:rPr>
          <w:rFonts w:hint="eastAsia" w:ascii="Times New Roman" w:hAnsi="Times New Roman" w:eastAsia="仿宋_GB2312" w:cs="仿宋_GB2312"/>
          <w:color w:val="000000"/>
          <w:spacing w:val="0"/>
          <w:sz w:val="32"/>
          <w:szCs w:val="32"/>
        </w:rPr>
        <w:t>纾难解困</w:t>
      </w:r>
      <w:r>
        <w:rPr>
          <w:rFonts w:hint="eastAsia" w:ascii="Times New Roman" w:hAnsi="Times New Roman" w:eastAsia="仿宋_GB2312" w:cs="仿宋_GB2312"/>
          <w:color w:val="000000"/>
          <w:spacing w:val="0"/>
          <w:sz w:val="32"/>
          <w:szCs w:val="32"/>
          <w:lang w:eastAsia="zh-CN"/>
        </w:rPr>
        <w:t>“</w:t>
      </w:r>
      <w:r>
        <w:rPr>
          <w:rFonts w:hint="eastAsia" w:ascii="Times New Roman" w:hAnsi="Times New Roman" w:eastAsia="仿宋_GB2312" w:cs="仿宋_GB2312"/>
          <w:color w:val="000000"/>
          <w:spacing w:val="0"/>
          <w:sz w:val="32"/>
          <w:szCs w:val="32"/>
        </w:rPr>
        <w:t>周一见</w:t>
      </w:r>
      <w:r>
        <w:rPr>
          <w:rFonts w:hint="eastAsia" w:ascii="Times New Roman" w:hAnsi="Times New Roman" w:eastAsia="仿宋_GB2312" w:cs="仿宋_GB2312"/>
          <w:color w:val="000000"/>
          <w:spacing w:val="0"/>
          <w:sz w:val="32"/>
          <w:szCs w:val="32"/>
          <w:lang w:eastAsia="zh-CN"/>
        </w:rPr>
        <w:t>”</w:t>
      </w:r>
      <w:r>
        <w:rPr>
          <w:rFonts w:hint="eastAsia" w:ascii="Times New Roman" w:hAnsi="Times New Roman" w:eastAsia="仿宋_GB2312" w:cs="仿宋_GB2312"/>
          <w:color w:val="000000"/>
          <w:spacing w:val="0"/>
          <w:sz w:val="32"/>
          <w:szCs w:val="32"/>
        </w:rPr>
        <w:t>研究会商问题192个。落实小微企业融资贷款协调机制，累计为4260户企业授信47亿元，入选2025年中央财政支持普惠金融发展示范区，全省仅3个、全市唯一。</w:t>
      </w:r>
      <w:r>
        <w:rPr>
          <w:rFonts w:hint="eastAsia" w:ascii="Times New Roman" w:hAnsi="Times New Roman" w:eastAsia="仿宋_GB2312" w:cs="仿宋_GB2312"/>
          <w:b w:val="0"/>
          <w:bCs w:val="0"/>
          <w:color w:val="000000"/>
          <w:spacing w:val="0"/>
          <w:sz w:val="32"/>
          <w:szCs w:val="32"/>
        </w:rPr>
        <w:t>雷山匠谷产教共兴</w:t>
      </w:r>
      <w:r>
        <w:rPr>
          <w:rFonts w:hint="eastAsia" w:ascii="Times New Roman" w:hAnsi="Times New Roman" w:eastAsia="仿宋_GB2312" w:cs="仿宋_GB2312"/>
          <w:b w:val="0"/>
          <w:bCs w:val="0"/>
          <w:color w:val="000000"/>
          <w:spacing w:val="0"/>
          <w:sz w:val="32"/>
          <w:szCs w:val="32"/>
          <w:lang w:eastAsia="zh-CN"/>
        </w:rPr>
        <w:t>，</w:t>
      </w:r>
      <w:r>
        <w:rPr>
          <w:rFonts w:hint="eastAsia" w:ascii="Times New Roman" w:hAnsi="Times New Roman" w:eastAsia="仿宋_GB2312" w:cs="仿宋_GB2312"/>
          <w:color w:val="000000"/>
          <w:spacing w:val="0"/>
          <w:sz w:val="32"/>
          <w:szCs w:val="32"/>
        </w:rPr>
        <w:t>航院专科校区、科技学院二期、技师学院二期加快建设，涉外学院信阳校区顺利招生，园区8所院校师生突破3万人。深化产教融合，高分中心信阳分中心入选首批河南省重点领域数字资源开发利用试点项目，卫星遥感与应用专业填补全省航天职业教育空白，与比亚迪、科大讯飞等合作共建产业学院6个，建成公共实训基地150余个，年均承办省级以上赛事5场。</w:t>
      </w:r>
    </w:p>
    <w:p w14:paraId="75FC0816">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Times New Roman" w:hAnsi="Times New Roman" w:eastAsia="仿宋_GB2312" w:cs="仿宋_GB2312"/>
          <w:b w:val="0"/>
          <w:bCs w:val="0"/>
          <w:color w:val="000000"/>
          <w:spacing w:val="0"/>
          <w:sz w:val="32"/>
          <w:szCs w:val="32"/>
          <w:lang w:eastAsia="zh-CN"/>
        </w:rPr>
      </w:pPr>
      <w:r>
        <w:rPr>
          <w:rStyle w:val="12"/>
          <w:rFonts w:hint="default" w:ascii="Times New Roman" w:hAnsi="Times New Roman"/>
          <w:sz w:val="32"/>
          <w:szCs w:val="32"/>
          <w:lang w:eastAsia="zh-CN"/>
        </w:rPr>
        <w:t>（</w:t>
      </w:r>
      <w:r>
        <w:rPr>
          <w:rStyle w:val="12"/>
          <w:rFonts w:hint="default" w:ascii="Times New Roman" w:hAnsi="Times New Roman"/>
          <w:sz w:val="32"/>
          <w:szCs w:val="32"/>
          <w:lang w:val="en-US" w:eastAsia="zh-CN"/>
        </w:rPr>
        <w:t>四</w:t>
      </w:r>
      <w:r>
        <w:rPr>
          <w:rStyle w:val="12"/>
          <w:rFonts w:hint="default" w:ascii="Times New Roman" w:hAnsi="Times New Roman"/>
          <w:sz w:val="32"/>
          <w:szCs w:val="32"/>
          <w:lang w:eastAsia="zh-CN"/>
        </w:rPr>
        <w:t>）城市功能焕新蝶变。</w:t>
      </w:r>
      <w:r>
        <w:rPr>
          <w:rFonts w:hint="eastAsia" w:ascii="Times New Roman" w:hAnsi="Times New Roman" w:eastAsia="仿宋_GB2312" w:cs="仿宋_GB2312"/>
          <w:b w:val="0"/>
          <w:bCs w:val="0"/>
          <w:color w:val="000000"/>
          <w:spacing w:val="0"/>
          <w:sz w:val="32"/>
          <w:szCs w:val="32"/>
          <w:lang w:eastAsia="zh-CN"/>
        </w:rPr>
        <w:t>统筹协同提高城乡宜居品质，累计实施城市更新项目37个，完成投资10.5亿元，提质改造平南大道、工十路等4条主次干道，完成17条背街小巷雨污分流改造，</w:t>
      </w:r>
      <w:r>
        <w:rPr>
          <w:rFonts w:hint="eastAsia"/>
          <w:lang w:eastAsia="zh-CN"/>
        </w:rPr>
        <w:t>“</w:t>
      </w:r>
      <w:r>
        <w:rPr>
          <w:rFonts w:hint="eastAsia"/>
          <w:lang w:val="en-US" w:eastAsia="zh-CN"/>
        </w:rPr>
        <w:t>一户一表</w:t>
      </w:r>
      <w:r>
        <w:rPr>
          <w:rFonts w:hint="eastAsia"/>
          <w:lang w:eastAsia="zh-CN"/>
        </w:rPr>
        <w:t>”</w:t>
      </w:r>
      <w:r>
        <w:rPr>
          <w:rFonts w:hint="eastAsia"/>
          <w:lang w:val="en-US" w:eastAsia="zh-CN"/>
        </w:rPr>
        <w:t>改造累计惠及群众</w:t>
      </w:r>
      <w:r>
        <w:rPr>
          <w:rFonts w:hint="eastAsia" w:ascii="Times New Roman" w:hAnsi="Times New Roman" w:eastAsia="仿宋_GB2312"/>
          <w:lang w:val="en-US" w:eastAsia="zh-CN"/>
        </w:rPr>
        <w:t>4</w:t>
      </w:r>
      <w:r>
        <w:rPr>
          <w:rFonts w:hint="eastAsia"/>
          <w:lang w:val="en-US" w:eastAsia="zh-CN"/>
        </w:rPr>
        <w:t>.</w:t>
      </w:r>
      <w:r>
        <w:rPr>
          <w:rFonts w:hint="eastAsia" w:ascii="Times New Roman" w:hAnsi="Times New Roman" w:eastAsia="仿宋_GB2312"/>
          <w:lang w:val="en-US" w:eastAsia="zh-CN"/>
        </w:rPr>
        <w:t>8</w:t>
      </w:r>
      <w:r>
        <w:rPr>
          <w:rFonts w:hint="eastAsia"/>
          <w:lang w:val="en-US" w:eastAsia="zh-CN"/>
        </w:rPr>
        <w:t>万户</w:t>
      </w:r>
      <w:r>
        <w:rPr>
          <w:rFonts w:hint="eastAsia" w:ascii="Times New Roman" w:hAnsi="Times New Roman" w:eastAsia="仿宋_GB2312" w:cs="仿宋_GB2312"/>
          <w:color w:val="000000"/>
          <w:spacing w:val="0"/>
          <w:sz w:val="32"/>
          <w:szCs w:val="32"/>
        </w:rPr>
        <w:t>。持续深化</w:t>
      </w:r>
      <w:r>
        <w:rPr>
          <w:rFonts w:hint="eastAsia" w:ascii="Times New Roman" w:hAnsi="Times New Roman" w:eastAsia="仿宋_GB2312" w:cs="仿宋_GB2312"/>
          <w:color w:val="000000"/>
          <w:spacing w:val="0"/>
          <w:sz w:val="32"/>
          <w:szCs w:val="32"/>
          <w:lang w:eastAsia="zh-CN"/>
        </w:rPr>
        <w:t>“</w:t>
      </w:r>
      <w:r>
        <w:rPr>
          <w:rFonts w:hint="eastAsia" w:ascii="Times New Roman" w:hAnsi="Times New Roman" w:eastAsia="仿宋_GB2312" w:cs="仿宋_GB2312"/>
          <w:color w:val="000000"/>
          <w:spacing w:val="0"/>
          <w:sz w:val="32"/>
          <w:szCs w:val="32"/>
        </w:rPr>
        <w:t>四好</w:t>
      </w:r>
      <w:r>
        <w:rPr>
          <w:rFonts w:hint="eastAsia" w:ascii="Times New Roman" w:hAnsi="Times New Roman" w:eastAsia="仿宋_GB2312" w:cs="仿宋_GB2312"/>
          <w:color w:val="000000"/>
          <w:spacing w:val="0"/>
          <w:sz w:val="32"/>
          <w:szCs w:val="32"/>
          <w:lang w:eastAsia="zh-CN"/>
        </w:rPr>
        <w:t>”</w:t>
      </w:r>
      <w:r>
        <w:rPr>
          <w:rFonts w:hint="eastAsia" w:ascii="Times New Roman" w:hAnsi="Times New Roman" w:eastAsia="仿宋_GB2312" w:cs="仿宋_GB2312"/>
          <w:color w:val="000000"/>
          <w:spacing w:val="0"/>
          <w:sz w:val="32"/>
          <w:szCs w:val="32"/>
        </w:rPr>
        <w:t>建设，完成老旧小区改造11个，6个房地产</w:t>
      </w:r>
      <w:r>
        <w:rPr>
          <w:rFonts w:hint="eastAsia" w:ascii="Times New Roman" w:hAnsi="Times New Roman" w:eastAsia="仿宋_GB2312" w:cs="仿宋_GB2312"/>
          <w:color w:val="000000"/>
          <w:spacing w:val="0"/>
          <w:sz w:val="32"/>
          <w:szCs w:val="32"/>
          <w:lang w:eastAsia="zh-CN"/>
        </w:rPr>
        <w:t>“</w:t>
      </w:r>
      <w:r>
        <w:rPr>
          <w:rFonts w:hint="eastAsia" w:ascii="Times New Roman" w:hAnsi="Times New Roman" w:eastAsia="仿宋_GB2312" w:cs="仿宋_GB2312"/>
          <w:color w:val="000000"/>
          <w:spacing w:val="0"/>
          <w:sz w:val="32"/>
          <w:szCs w:val="32"/>
        </w:rPr>
        <w:t>白名单</w:t>
      </w:r>
      <w:r>
        <w:rPr>
          <w:rFonts w:hint="eastAsia" w:ascii="Times New Roman" w:hAnsi="Times New Roman" w:eastAsia="仿宋_GB2312" w:cs="仿宋_GB2312"/>
          <w:color w:val="000000"/>
          <w:spacing w:val="0"/>
          <w:sz w:val="32"/>
          <w:szCs w:val="32"/>
          <w:lang w:eastAsia="zh-CN"/>
        </w:rPr>
        <w:t>”</w:t>
      </w:r>
      <w:r>
        <w:rPr>
          <w:rFonts w:hint="eastAsia" w:ascii="Times New Roman" w:hAnsi="Times New Roman" w:eastAsia="仿宋_GB2312" w:cs="仿宋_GB2312"/>
          <w:color w:val="000000"/>
          <w:spacing w:val="0"/>
          <w:sz w:val="32"/>
          <w:szCs w:val="32"/>
        </w:rPr>
        <w:t>项目获得授信5.5亿元，全国</w:t>
      </w:r>
      <w:r>
        <w:rPr>
          <w:rFonts w:hint="eastAsia" w:ascii="Times New Roman" w:hAnsi="Times New Roman" w:eastAsia="仿宋_GB2312" w:cs="仿宋_GB2312"/>
          <w:color w:val="000000"/>
          <w:spacing w:val="0"/>
          <w:sz w:val="32"/>
          <w:szCs w:val="32"/>
          <w:lang w:eastAsia="zh-CN"/>
        </w:rPr>
        <w:t>“</w:t>
      </w:r>
      <w:r>
        <w:rPr>
          <w:rFonts w:hint="eastAsia" w:ascii="Times New Roman" w:hAnsi="Times New Roman" w:eastAsia="仿宋_GB2312" w:cs="仿宋_GB2312"/>
          <w:color w:val="000000"/>
          <w:spacing w:val="0"/>
          <w:sz w:val="32"/>
          <w:szCs w:val="32"/>
        </w:rPr>
        <w:t>好房子</w:t>
      </w:r>
      <w:r>
        <w:rPr>
          <w:rFonts w:hint="eastAsia" w:ascii="Times New Roman" w:hAnsi="Times New Roman" w:eastAsia="仿宋_GB2312" w:cs="仿宋_GB2312"/>
          <w:color w:val="000000"/>
          <w:spacing w:val="0"/>
          <w:sz w:val="32"/>
          <w:szCs w:val="32"/>
          <w:lang w:eastAsia="zh-CN"/>
        </w:rPr>
        <w:t>”</w:t>
      </w:r>
      <w:r>
        <w:rPr>
          <w:rFonts w:hint="eastAsia" w:ascii="Times New Roman" w:hAnsi="Times New Roman" w:eastAsia="仿宋_GB2312" w:cs="仿宋_GB2312"/>
          <w:color w:val="000000"/>
          <w:spacing w:val="0"/>
          <w:sz w:val="32"/>
          <w:szCs w:val="32"/>
        </w:rPr>
        <w:t>科技创新交流会现场观摩活动</w:t>
      </w:r>
      <w:r>
        <w:rPr>
          <w:rFonts w:hint="eastAsia" w:ascii="Times New Roman" w:hAnsi="Times New Roman" w:eastAsia="仿宋_GB2312" w:cs="仿宋_GB2312"/>
          <w:color w:val="000000"/>
          <w:spacing w:val="0"/>
          <w:sz w:val="32"/>
          <w:szCs w:val="32"/>
          <w:lang w:val="en-US" w:eastAsia="zh-CN"/>
        </w:rPr>
        <w:t>在</w:t>
      </w:r>
      <w:r>
        <w:rPr>
          <w:rFonts w:hint="eastAsia" w:ascii="Times New Roman" w:hAnsi="Times New Roman" w:eastAsia="仿宋_GB2312" w:cs="仿宋_GB2312"/>
          <w:color w:val="000000"/>
          <w:spacing w:val="0"/>
          <w:sz w:val="32"/>
          <w:szCs w:val="32"/>
        </w:rPr>
        <w:t>小桥胡同</w:t>
      </w:r>
      <w:r>
        <w:rPr>
          <w:rFonts w:hint="eastAsia" w:ascii="Times New Roman" w:hAnsi="Times New Roman" w:eastAsia="仿宋_GB2312" w:cs="仿宋_GB2312"/>
          <w:color w:val="000000"/>
          <w:spacing w:val="0"/>
          <w:sz w:val="32"/>
          <w:szCs w:val="32"/>
          <w:lang w:val="en-US" w:eastAsia="zh-CN"/>
        </w:rPr>
        <w:t>举办。深入开展城市精细化治理“六查六治”行动，依托城市运管服平台处置问题1.2万件，城镇燃气、消防、排水防涝等安全隐患排查整改常态化，城市安全韧性有效提升。</w:t>
      </w:r>
    </w:p>
    <w:p w14:paraId="4022216F">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Times New Roman" w:hAnsi="Times New Roman" w:eastAsia="仿宋_GB2312" w:cs="仿宋_GB2312"/>
          <w:b w:val="0"/>
          <w:bCs w:val="0"/>
          <w:color w:val="000000"/>
          <w:spacing w:val="0"/>
          <w:sz w:val="32"/>
          <w:szCs w:val="32"/>
          <w:lang w:eastAsia="zh-CN"/>
        </w:rPr>
      </w:pPr>
      <w:r>
        <w:rPr>
          <w:rStyle w:val="12"/>
          <w:rFonts w:hint="default" w:ascii="Times New Roman" w:hAnsi="Times New Roman"/>
          <w:sz w:val="32"/>
          <w:szCs w:val="32"/>
          <w:lang w:eastAsia="zh-CN"/>
        </w:rPr>
        <w:t>（</w:t>
      </w:r>
      <w:r>
        <w:rPr>
          <w:rStyle w:val="12"/>
          <w:rFonts w:hint="default" w:ascii="Times New Roman" w:hAnsi="Times New Roman"/>
          <w:sz w:val="32"/>
          <w:szCs w:val="32"/>
          <w:lang w:val="en-US" w:eastAsia="zh-CN"/>
        </w:rPr>
        <w:t>五</w:t>
      </w:r>
      <w:r>
        <w:rPr>
          <w:rStyle w:val="12"/>
          <w:rFonts w:hint="default" w:ascii="Times New Roman" w:hAnsi="Times New Roman"/>
          <w:sz w:val="32"/>
          <w:szCs w:val="32"/>
          <w:lang w:eastAsia="zh-CN"/>
        </w:rPr>
        <w:t>）</w:t>
      </w:r>
      <w:r>
        <w:rPr>
          <w:rStyle w:val="12"/>
          <w:rFonts w:hint="default" w:ascii="Times New Roman" w:hAnsi="Times New Roman"/>
          <w:sz w:val="32"/>
          <w:szCs w:val="32"/>
        </w:rPr>
        <w:t>乡村振兴走深走实</w:t>
      </w:r>
      <w:r>
        <w:rPr>
          <w:rStyle w:val="12"/>
          <w:rFonts w:hint="default" w:ascii="Times New Roman" w:hAnsi="Times New Roman"/>
          <w:sz w:val="32"/>
          <w:szCs w:val="32"/>
          <w:lang w:eastAsia="zh-CN"/>
        </w:rPr>
        <w:t>。</w:t>
      </w:r>
      <w:r>
        <w:rPr>
          <w:rFonts w:hint="eastAsia" w:ascii="Times New Roman" w:hAnsi="Times New Roman" w:eastAsia="仿宋_GB2312" w:cs="仿宋_GB2312"/>
          <w:i w:val="0"/>
          <w:iCs w:val="0"/>
          <w:caps w:val="0"/>
          <w:color w:val="0F1115"/>
          <w:spacing w:val="0"/>
          <w:sz w:val="32"/>
          <w:szCs w:val="32"/>
          <w:shd w:val="clear" w:fill="FFFFFF"/>
        </w:rPr>
        <w:t>坚</w:t>
      </w:r>
      <w:r>
        <w:rPr>
          <w:rFonts w:hint="eastAsia" w:ascii="Times New Roman" w:hAnsi="Times New Roman" w:eastAsia="仿宋_GB2312" w:cs="仿宋_GB2312"/>
          <w:i w:val="0"/>
          <w:iCs w:val="0"/>
          <w:caps w:val="0"/>
          <w:color w:val="0F1115"/>
          <w:spacing w:val="0"/>
          <w:sz w:val="32"/>
          <w:szCs w:val="32"/>
          <w:shd w:val="clear" w:fill="FFFFFF"/>
          <w:lang w:val="en-US" w:eastAsia="zh-CN"/>
        </w:rPr>
        <w:t>决</w:t>
      </w:r>
      <w:r>
        <w:rPr>
          <w:rFonts w:hint="eastAsia" w:ascii="Times New Roman" w:hAnsi="Times New Roman" w:eastAsia="仿宋_GB2312" w:cs="仿宋_GB2312"/>
          <w:i w:val="0"/>
          <w:iCs w:val="0"/>
          <w:caps w:val="0"/>
          <w:color w:val="0F1115"/>
          <w:spacing w:val="0"/>
          <w:sz w:val="32"/>
          <w:szCs w:val="32"/>
          <w:shd w:val="clear" w:fill="FFFFFF"/>
        </w:rPr>
        <w:t>扛稳粮食安全政治责任，严格落实耕地保护制度，高质量完成16万亩高标准农田建设，</w:t>
      </w:r>
      <w:r>
        <w:rPr>
          <w:rFonts w:hint="eastAsia"/>
        </w:rPr>
        <w:t>粮食总产量连续</w:t>
      </w:r>
      <w:r>
        <w:rPr>
          <w:rFonts w:hint="eastAsia" w:ascii="Times New Roman" w:hAnsi="Times New Roman" w:eastAsia="仿宋_GB2312"/>
        </w:rPr>
        <w:t>18</w:t>
      </w:r>
      <w:r>
        <w:rPr>
          <w:rFonts w:hint="eastAsia"/>
        </w:rPr>
        <w:t>年稳定在</w:t>
      </w:r>
      <w:r>
        <w:rPr>
          <w:rFonts w:hint="eastAsia" w:ascii="Times New Roman" w:hAnsi="Times New Roman" w:eastAsia="仿宋_GB2312"/>
        </w:rPr>
        <w:t>10</w:t>
      </w:r>
      <w:r>
        <w:rPr>
          <w:rFonts w:hint="eastAsia"/>
        </w:rPr>
        <w:t>亿斤以上。</w:t>
      </w:r>
      <w:r>
        <w:rPr>
          <w:rFonts w:hint="eastAsia" w:ascii="Times New Roman" w:hAnsi="Times New Roman" w:eastAsia="仿宋_GB2312" w:cs="仿宋_GB2312"/>
          <w:i w:val="0"/>
          <w:iCs w:val="0"/>
          <w:caps w:val="0"/>
          <w:color w:val="0F1115"/>
          <w:spacing w:val="0"/>
          <w:sz w:val="32"/>
          <w:szCs w:val="32"/>
          <w:shd w:val="clear" w:fill="FFFFFF"/>
        </w:rPr>
        <w:t>有效克服夏季干旱、秋季阴雨等多重自然灾害影响，稳产保供根基持续夯实。农业农村现代化迈出新步伐</w:t>
      </w:r>
      <w:r>
        <w:rPr>
          <w:rFonts w:hint="eastAsia" w:ascii="Times New Roman" w:hAnsi="Times New Roman" w:eastAsia="仿宋_GB2312" w:cs="仿宋_GB2312"/>
          <w:i w:val="0"/>
          <w:iCs w:val="0"/>
          <w:caps w:val="0"/>
          <w:color w:val="0F1115"/>
          <w:spacing w:val="0"/>
          <w:sz w:val="32"/>
          <w:szCs w:val="32"/>
          <w:shd w:val="clear" w:fill="FFFFFF"/>
          <w:lang w:eastAsia="zh-CN"/>
        </w:rPr>
        <w:t>，</w:t>
      </w:r>
      <w:r>
        <w:rPr>
          <w:rFonts w:hint="eastAsia" w:ascii="Times New Roman" w:hAnsi="Times New Roman" w:eastAsia="仿宋_GB2312" w:cs="仿宋_GB2312"/>
          <w:i w:val="0"/>
          <w:iCs w:val="0"/>
          <w:caps w:val="0"/>
          <w:color w:val="0F1115"/>
          <w:spacing w:val="0"/>
          <w:sz w:val="32"/>
          <w:szCs w:val="32"/>
          <w:shd w:val="clear" w:fill="FFFFFF"/>
        </w:rPr>
        <w:t>累计培育省级以上农业产业化龙头企业17家、产业化联合体及现代农业产业园8个</w:t>
      </w:r>
      <w:r>
        <w:rPr>
          <w:rFonts w:hint="eastAsia" w:ascii="Times New Roman" w:hAnsi="Times New Roman" w:eastAsia="仿宋_GB2312" w:cs="仿宋_GB2312"/>
          <w:color w:val="000000"/>
          <w:spacing w:val="0"/>
          <w:sz w:val="32"/>
          <w:szCs w:val="32"/>
          <w:lang w:eastAsia="zh-CN"/>
        </w:rPr>
        <w:t>，</w:t>
      </w:r>
      <w:r>
        <w:rPr>
          <w:rFonts w:hint="eastAsia" w:ascii="Times New Roman" w:hAnsi="Times New Roman" w:eastAsia="仿宋_GB2312" w:cs="仿宋_GB2312"/>
          <w:color w:val="000000"/>
          <w:spacing w:val="0"/>
          <w:sz w:val="32"/>
          <w:szCs w:val="32"/>
        </w:rPr>
        <w:t>统筹实施现代设施农业产业园、洪山水库绿色渔业示范基地、数字渔业产业中心等项目，加快培育乡村新产业新业态。</w:t>
      </w:r>
      <w:r>
        <w:rPr>
          <w:rFonts w:hint="eastAsia" w:ascii="Times New Roman" w:hAnsi="Times New Roman" w:eastAsia="仿宋_GB2312" w:cs="仿宋_GB2312"/>
          <w:i w:val="0"/>
          <w:iCs w:val="0"/>
          <w:caps w:val="0"/>
          <w:color w:val="0F1115"/>
          <w:spacing w:val="0"/>
          <w:sz w:val="32"/>
          <w:szCs w:val="32"/>
          <w:shd w:val="clear" w:fill="FFFFFF"/>
        </w:rPr>
        <w:t>优质稻米、蔬菜、茶叶等主导产业规模突破80万亩，</w:t>
      </w:r>
      <w:r>
        <w:rPr>
          <w:rFonts w:hint="eastAsia" w:ascii="Times New Roman" w:hAnsi="Times New Roman" w:eastAsia="仿宋_GB2312" w:cs="仿宋_GB2312"/>
          <w:i w:val="0"/>
          <w:iCs w:val="0"/>
          <w:caps w:val="0"/>
          <w:color w:val="0F1115"/>
          <w:spacing w:val="0"/>
          <w:sz w:val="32"/>
          <w:szCs w:val="32"/>
          <w:shd w:val="clear" w:fill="FFFFFF"/>
          <w:lang w:eastAsia="zh-CN"/>
        </w:rPr>
        <w:t>“</w:t>
      </w:r>
      <w:r>
        <w:rPr>
          <w:rFonts w:hint="eastAsia" w:ascii="Times New Roman" w:hAnsi="Times New Roman" w:eastAsia="仿宋_GB2312" w:cs="仿宋_GB2312"/>
          <w:i w:val="0"/>
          <w:iCs w:val="0"/>
          <w:caps w:val="0"/>
          <w:color w:val="0F1115"/>
          <w:spacing w:val="0"/>
          <w:sz w:val="32"/>
          <w:szCs w:val="32"/>
          <w:shd w:val="clear" w:fill="FFFFFF"/>
        </w:rPr>
        <w:t>平桥香米</w:t>
      </w:r>
      <w:r>
        <w:rPr>
          <w:rFonts w:hint="eastAsia" w:ascii="Times New Roman" w:hAnsi="Times New Roman" w:eastAsia="仿宋_GB2312" w:cs="仿宋_GB2312"/>
          <w:i w:val="0"/>
          <w:iCs w:val="0"/>
          <w:caps w:val="0"/>
          <w:color w:val="0F1115"/>
          <w:spacing w:val="0"/>
          <w:sz w:val="32"/>
          <w:szCs w:val="32"/>
          <w:shd w:val="clear" w:fill="FFFFFF"/>
          <w:lang w:eastAsia="zh-CN"/>
        </w:rPr>
        <w:t>”</w:t>
      </w:r>
      <w:r>
        <w:rPr>
          <w:rFonts w:hint="eastAsia" w:ascii="Times New Roman" w:hAnsi="Times New Roman" w:eastAsia="仿宋_GB2312" w:cs="仿宋_GB2312"/>
          <w:i w:val="0"/>
          <w:iCs w:val="0"/>
          <w:caps w:val="0"/>
          <w:color w:val="0F1115"/>
          <w:spacing w:val="0"/>
          <w:sz w:val="32"/>
          <w:szCs w:val="32"/>
          <w:shd w:val="clear" w:fill="FFFFFF"/>
        </w:rPr>
        <w:t>成功入选全国名特优新农产品名录。学习运用</w:t>
      </w:r>
      <w:r>
        <w:rPr>
          <w:rFonts w:hint="eastAsia" w:ascii="Times New Roman" w:hAnsi="Times New Roman" w:eastAsia="仿宋_GB2312" w:cs="仿宋_GB2312"/>
          <w:i w:val="0"/>
          <w:iCs w:val="0"/>
          <w:caps w:val="0"/>
          <w:color w:val="0F1115"/>
          <w:spacing w:val="0"/>
          <w:sz w:val="32"/>
          <w:szCs w:val="32"/>
          <w:shd w:val="clear" w:fill="FFFFFF"/>
          <w:lang w:eastAsia="zh-CN"/>
        </w:rPr>
        <w:t>“</w:t>
      </w:r>
      <w:r>
        <w:rPr>
          <w:rFonts w:hint="eastAsia" w:ascii="Times New Roman" w:hAnsi="Times New Roman" w:eastAsia="仿宋_GB2312" w:cs="仿宋_GB2312"/>
          <w:i w:val="0"/>
          <w:iCs w:val="0"/>
          <w:caps w:val="0"/>
          <w:color w:val="0F1115"/>
          <w:spacing w:val="0"/>
          <w:sz w:val="32"/>
          <w:szCs w:val="32"/>
          <w:shd w:val="clear" w:fill="FFFFFF"/>
        </w:rPr>
        <w:t>千万工程</w:t>
      </w:r>
      <w:r>
        <w:rPr>
          <w:rFonts w:hint="eastAsia" w:ascii="Times New Roman" w:hAnsi="Times New Roman" w:eastAsia="仿宋_GB2312" w:cs="仿宋_GB2312"/>
          <w:i w:val="0"/>
          <w:iCs w:val="0"/>
          <w:caps w:val="0"/>
          <w:color w:val="0F1115"/>
          <w:spacing w:val="0"/>
          <w:sz w:val="32"/>
          <w:szCs w:val="32"/>
          <w:shd w:val="clear" w:fill="FFFFFF"/>
          <w:lang w:eastAsia="zh-CN"/>
        </w:rPr>
        <w:t>”</w:t>
      </w:r>
      <w:r>
        <w:rPr>
          <w:rFonts w:hint="eastAsia" w:ascii="Times New Roman" w:hAnsi="Times New Roman" w:eastAsia="仿宋_GB2312" w:cs="仿宋_GB2312"/>
          <w:i w:val="0"/>
          <w:iCs w:val="0"/>
          <w:caps w:val="0"/>
          <w:color w:val="0F1115"/>
          <w:spacing w:val="0"/>
          <w:sz w:val="32"/>
          <w:szCs w:val="32"/>
          <w:shd w:val="clear" w:fill="FFFFFF"/>
        </w:rPr>
        <w:t>经验，统筹推进乡村发展、建设和治理，完成农村危房改造238户、问题厕所整改759个，农村自来水普及率提升至92%，生活污水治理（管控）率达到46%，创建省级</w:t>
      </w:r>
      <w:r>
        <w:rPr>
          <w:rFonts w:hint="eastAsia" w:ascii="Times New Roman" w:hAnsi="Times New Roman" w:eastAsia="仿宋_GB2312" w:cs="仿宋_GB2312"/>
          <w:i w:val="0"/>
          <w:iCs w:val="0"/>
          <w:caps w:val="0"/>
          <w:color w:val="0F1115"/>
          <w:spacing w:val="0"/>
          <w:sz w:val="32"/>
          <w:szCs w:val="32"/>
          <w:shd w:val="clear" w:fill="FFFFFF"/>
          <w:lang w:eastAsia="zh-CN"/>
        </w:rPr>
        <w:t>“</w:t>
      </w:r>
      <w:r>
        <w:rPr>
          <w:rFonts w:hint="eastAsia" w:ascii="Times New Roman" w:hAnsi="Times New Roman" w:eastAsia="仿宋_GB2312" w:cs="仿宋_GB2312"/>
          <w:i w:val="0"/>
          <w:iCs w:val="0"/>
          <w:caps w:val="0"/>
          <w:color w:val="0F1115"/>
          <w:spacing w:val="0"/>
          <w:sz w:val="32"/>
          <w:szCs w:val="32"/>
          <w:shd w:val="clear" w:fill="FFFFFF"/>
        </w:rPr>
        <w:t>和美村</w:t>
      </w:r>
      <w:r>
        <w:rPr>
          <w:rFonts w:hint="eastAsia" w:ascii="Times New Roman" w:hAnsi="Times New Roman" w:eastAsia="仿宋_GB2312" w:cs="仿宋_GB2312"/>
          <w:i w:val="0"/>
          <w:iCs w:val="0"/>
          <w:caps w:val="0"/>
          <w:color w:val="0F1115"/>
          <w:spacing w:val="0"/>
          <w:sz w:val="32"/>
          <w:szCs w:val="32"/>
          <w:shd w:val="clear" w:fill="FFFFFF"/>
          <w:lang w:eastAsia="zh-CN"/>
        </w:rPr>
        <w:t>”“</w:t>
      </w:r>
      <w:r>
        <w:rPr>
          <w:rFonts w:hint="eastAsia" w:ascii="Times New Roman" w:hAnsi="Times New Roman" w:eastAsia="仿宋_GB2312" w:cs="仿宋_GB2312"/>
          <w:i w:val="0"/>
          <w:iCs w:val="0"/>
          <w:caps w:val="0"/>
          <w:color w:val="0F1115"/>
          <w:spacing w:val="0"/>
          <w:sz w:val="32"/>
          <w:szCs w:val="32"/>
          <w:shd w:val="clear" w:fill="FFFFFF"/>
        </w:rPr>
        <w:t>富美村</w:t>
      </w:r>
      <w:r>
        <w:rPr>
          <w:rFonts w:hint="eastAsia" w:ascii="Times New Roman" w:hAnsi="Times New Roman" w:eastAsia="仿宋_GB2312" w:cs="仿宋_GB2312"/>
          <w:i w:val="0"/>
          <w:iCs w:val="0"/>
          <w:caps w:val="0"/>
          <w:color w:val="0F1115"/>
          <w:spacing w:val="0"/>
          <w:sz w:val="32"/>
          <w:szCs w:val="32"/>
          <w:shd w:val="clear" w:fill="FFFFFF"/>
          <w:lang w:eastAsia="zh-CN"/>
        </w:rPr>
        <w:t>”</w:t>
      </w:r>
      <w:r>
        <w:rPr>
          <w:rFonts w:hint="eastAsia" w:ascii="Times New Roman" w:hAnsi="Times New Roman" w:eastAsia="仿宋_GB2312" w:cs="仿宋_GB2312"/>
          <w:i w:val="0"/>
          <w:iCs w:val="0"/>
          <w:caps w:val="0"/>
          <w:color w:val="0F1115"/>
          <w:spacing w:val="0"/>
          <w:sz w:val="32"/>
          <w:szCs w:val="32"/>
          <w:shd w:val="clear" w:fill="FFFFFF"/>
          <w:lang w:val="en-US" w:eastAsia="zh-CN"/>
        </w:rPr>
        <w:t>25</w:t>
      </w:r>
      <w:r>
        <w:rPr>
          <w:rFonts w:hint="eastAsia" w:ascii="Times New Roman" w:hAnsi="Times New Roman" w:eastAsia="仿宋_GB2312" w:cs="仿宋_GB2312"/>
          <w:i w:val="0"/>
          <w:iCs w:val="0"/>
          <w:caps w:val="0"/>
          <w:color w:val="0F1115"/>
          <w:spacing w:val="0"/>
          <w:sz w:val="32"/>
          <w:szCs w:val="32"/>
          <w:shd w:val="clear" w:fill="FFFFFF"/>
        </w:rPr>
        <w:t>个，乡村面貌焕发新颜。</w:t>
      </w:r>
    </w:p>
    <w:p w14:paraId="625981F5">
      <w:pPr>
        <w:keepNext w:val="0"/>
        <w:keepLines w:val="0"/>
        <w:pageBreakBefore w:val="0"/>
        <w:widowControl w:val="0"/>
        <w:tabs>
          <w:tab w:val="left" w:pos="5196"/>
        </w:tabs>
        <w:kinsoku/>
        <w:wordWrap/>
        <w:overflowPunct/>
        <w:topLinePunct w:val="0"/>
        <w:autoSpaceDE/>
        <w:autoSpaceDN/>
        <w:bidi w:val="0"/>
        <w:adjustRightInd/>
        <w:snapToGrid/>
        <w:spacing w:line="540" w:lineRule="exact"/>
        <w:ind w:firstLine="643" w:firstLineChars="200"/>
        <w:textAlignment w:val="auto"/>
        <w:rPr>
          <w:rFonts w:hint="eastAsia" w:ascii="Times New Roman" w:hAnsi="Times New Roman" w:eastAsia="仿宋_GB2312" w:cs="仿宋_GB2312"/>
          <w:b/>
          <w:bCs/>
          <w:color w:val="000000"/>
          <w:spacing w:val="0"/>
          <w:sz w:val="32"/>
          <w:szCs w:val="32"/>
          <w:lang w:eastAsia="zh-CN"/>
        </w:rPr>
      </w:pPr>
      <w:r>
        <w:rPr>
          <w:rStyle w:val="12"/>
          <w:rFonts w:hint="default" w:ascii="Times New Roman" w:hAnsi="Times New Roman"/>
          <w:sz w:val="32"/>
          <w:szCs w:val="32"/>
          <w:lang w:eastAsia="zh-CN"/>
        </w:rPr>
        <w:t>（</w:t>
      </w:r>
      <w:r>
        <w:rPr>
          <w:rStyle w:val="12"/>
          <w:rFonts w:hint="default" w:ascii="Times New Roman" w:hAnsi="Times New Roman"/>
          <w:sz w:val="32"/>
          <w:szCs w:val="32"/>
          <w:lang w:val="en-US" w:eastAsia="zh-CN"/>
        </w:rPr>
        <w:t>六</w:t>
      </w:r>
      <w:r>
        <w:rPr>
          <w:rStyle w:val="12"/>
          <w:rFonts w:hint="default" w:ascii="Times New Roman" w:hAnsi="Times New Roman"/>
          <w:sz w:val="32"/>
          <w:szCs w:val="32"/>
          <w:lang w:eastAsia="zh-CN"/>
        </w:rPr>
        <w:t>）民生保障坚实有力。</w:t>
      </w:r>
      <w:r>
        <w:rPr>
          <w:rFonts w:hint="eastAsia" w:ascii="Times New Roman" w:hAnsi="Times New Roman" w:eastAsia="仿宋_GB2312" w:cs="仿宋_GB2312"/>
          <w:b w:val="0"/>
          <w:bCs w:val="0"/>
          <w:color w:val="000000"/>
          <w:spacing w:val="0"/>
          <w:sz w:val="32"/>
          <w:szCs w:val="32"/>
          <w:lang w:eastAsia="zh-CN"/>
        </w:rPr>
        <w:t>坚持在发展中保障和改善民生，全年民生支出占一般公共预算支出比重保持在80%以上。实施就业优先战略，深化“人人持证、技能河南”建设，开展职业技能培训1.8万人次，新增高技能人才超6000人；举办各类招聘会50场，提供就业岗位2万余个，</w:t>
      </w:r>
      <w:r>
        <w:rPr>
          <w:rFonts w:hint="eastAsia"/>
          <w:lang w:val="en-US" w:eastAsia="zh-CN"/>
        </w:rPr>
        <w:t>全年</w:t>
      </w:r>
      <w:r>
        <w:rPr>
          <w:rFonts w:hint="eastAsia"/>
        </w:rPr>
        <w:t>新增城镇就业</w:t>
      </w:r>
      <w:r>
        <w:rPr>
          <w:rFonts w:hint="eastAsia" w:ascii="Times New Roman" w:hAnsi="Times New Roman" w:eastAsia="仿宋_GB2312"/>
        </w:rPr>
        <w:t>1</w:t>
      </w:r>
      <w:r>
        <w:rPr>
          <w:rFonts w:hint="eastAsia"/>
        </w:rPr>
        <w:t>万人、农村劳动力转移就业</w:t>
      </w:r>
      <w:r>
        <w:rPr>
          <w:rFonts w:hint="eastAsia" w:ascii="Times New Roman" w:hAnsi="Times New Roman" w:eastAsia="仿宋_GB2312"/>
        </w:rPr>
        <w:t>7000</w:t>
      </w:r>
      <w:r>
        <w:rPr>
          <w:rFonts w:hint="eastAsia"/>
        </w:rPr>
        <w:t>人</w:t>
      </w:r>
      <w:r>
        <w:rPr>
          <w:rFonts w:hint="eastAsia"/>
          <w:lang w:eastAsia="zh-CN"/>
        </w:rPr>
        <w:t>，</w:t>
      </w:r>
      <w:r>
        <w:rPr>
          <w:rFonts w:hint="eastAsia" w:ascii="Times New Roman" w:hAnsi="Times New Roman" w:eastAsia="仿宋_GB2312" w:cs="仿宋_GB2312"/>
          <w:b w:val="0"/>
          <w:bCs w:val="0"/>
          <w:color w:val="000000"/>
          <w:spacing w:val="0"/>
          <w:sz w:val="32"/>
          <w:szCs w:val="32"/>
          <w:lang w:eastAsia="zh-CN"/>
        </w:rPr>
        <w:t>就业形势保持稳定。推动教育事业优质均衡发展，新改扩建公办幼儿园7所、城乡中小学校40余所，信阳二高初中部建成招生；深入推进集团化办学与“区管校聘”改革，促进师资均衡配置；新高考特控线过线率达31%，高出全省平均11个百分点，教育教学质量稳步提高。加快健康平桥建设，市第四人民医院感染病区、区妇幼保健院新病房楼建成投用，基层医疗机构中医馆实现全覆盖，11家乡镇卫生院达到国家推荐标准，数量居全市首位。织密扎牢社会保障网，基本养老、基本医疗保险参保率稳定在95%以上；发放各类社会救助资金1.5亿元，惠及群众</w:t>
      </w:r>
      <w:r>
        <w:rPr>
          <w:rFonts w:hint="eastAsia" w:ascii="Times New Roman" w:hAnsi="Times New Roman" w:eastAsia="仿宋_GB2312" w:cs="仿宋_GB2312"/>
          <w:b w:val="0"/>
          <w:bCs w:val="0"/>
          <w:color w:val="000000"/>
          <w:spacing w:val="0"/>
          <w:sz w:val="32"/>
          <w:szCs w:val="32"/>
          <w:lang w:val="en-US" w:eastAsia="zh-CN"/>
        </w:rPr>
        <w:t>74</w:t>
      </w:r>
      <w:r>
        <w:rPr>
          <w:rFonts w:hint="eastAsia" w:ascii="Times New Roman" w:hAnsi="Times New Roman" w:eastAsia="仿宋_GB2312" w:cs="仿宋_GB2312"/>
          <w:b w:val="0"/>
          <w:bCs w:val="0"/>
          <w:color w:val="000000"/>
          <w:spacing w:val="0"/>
          <w:sz w:val="32"/>
          <w:szCs w:val="32"/>
          <w:lang w:eastAsia="zh-CN"/>
        </w:rPr>
        <w:t>万人次；积极探索“医养结合”新模式，推动8家养老机构转型升级，新建村级养老服务站8个、老年助餐点14个，多层次社会保障体系更加完善。</w:t>
      </w:r>
    </w:p>
    <w:p w14:paraId="36AD8358">
      <w:pPr>
        <w:keepNext w:val="0"/>
        <w:keepLines w:val="0"/>
        <w:pageBreakBefore w:val="0"/>
        <w:widowControl w:val="0"/>
        <w:kinsoku/>
        <w:wordWrap/>
        <w:overflowPunct/>
        <w:topLinePunct w:val="0"/>
        <w:autoSpaceDE/>
        <w:autoSpaceDN/>
        <w:bidi w:val="0"/>
        <w:snapToGrid/>
        <w:spacing w:line="540" w:lineRule="exact"/>
        <w:ind w:firstLine="643" w:firstLineChars="200"/>
        <w:textAlignment w:val="auto"/>
        <w:rPr>
          <w:rFonts w:hint="eastAsia" w:ascii="Times New Roman" w:hAnsi="Times New Roman" w:eastAsia="仿宋_GB2312" w:cs="仿宋_GB2312"/>
          <w:b w:val="0"/>
          <w:bCs w:val="0"/>
          <w:color w:val="000000"/>
          <w:spacing w:val="0"/>
          <w:sz w:val="32"/>
          <w:szCs w:val="32"/>
          <w:lang w:val="en-US" w:eastAsia="zh-CN"/>
        </w:rPr>
      </w:pPr>
      <w:r>
        <w:rPr>
          <w:rStyle w:val="12"/>
          <w:rFonts w:hint="default" w:ascii="Times New Roman" w:hAnsi="Times New Roman"/>
          <w:sz w:val="32"/>
          <w:szCs w:val="32"/>
          <w:lang w:eastAsia="zh-CN"/>
        </w:rPr>
        <w:t>（</w:t>
      </w:r>
      <w:r>
        <w:rPr>
          <w:rStyle w:val="12"/>
          <w:rFonts w:hint="default" w:ascii="Times New Roman" w:hAnsi="Times New Roman"/>
          <w:sz w:val="32"/>
          <w:szCs w:val="32"/>
          <w:lang w:val="en-US" w:eastAsia="zh-CN"/>
        </w:rPr>
        <w:t>七</w:t>
      </w:r>
      <w:r>
        <w:rPr>
          <w:rStyle w:val="12"/>
          <w:rFonts w:hint="default" w:ascii="Times New Roman" w:hAnsi="Times New Roman"/>
          <w:sz w:val="32"/>
          <w:szCs w:val="32"/>
          <w:lang w:eastAsia="zh-CN"/>
        </w:rPr>
        <w:t>）安全底线巩固筑牢</w:t>
      </w:r>
      <w:r>
        <w:rPr>
          <w:rStyle w:val="12"/>
          <w:rFonts w:hint="default" w:ascii="Times New Roman" w:hAnsi="Times New Roman"/>
          <w:sz w:val="32"/>
          <w:szCs w:val="32"/>
          <w:lang w:val="en-US" w:eastAsia="zh-CN"/>
        </w:rPr>
        <w:t>。</w:t>
      </w:r>
      <w:r>
        <w:rPr>
          <w:rFonts w:hint="eastAsia" w:ascii="Times New Roman" w:hAnsi="Times New Roman" w:eastAsia="仿宋_GB2312" w:cs="仿宋_GB2312"/>
          <w:b w:val="0"/>
          <w:bCs w:val="0"/>
          <w:color w:val="000000"/>
          <w:spacing w:val="0"/>
          <w:sz w:val="32"/>
          <w:szCs w:val="32"/>
          <w:lang w:val="en-US" w:eastAsia="zh-CN"/>
        </w:rPr>
        <w:t>统筹高质量发展和高水平安全，有效防范化解各类风险隐患。深入打好污染防治攻坚战，全区空气质量综合指数位居全市第2，园满完成2025年空气质量二级达标任务；54个重点入河排污口整治任务全部完成，4个国市控断面水质稳定达标；完成营造林9200亩，受污染耕地和建设用地安全利用率保持100%，蓝天、碧水、净土保卫战成果持续巩固。严格落实意识形态工作责任制，加强网络舆情研判处置，典型辟谣案例获中央网信办推广，意识形态领域保持平稳可控。深化平安平桥建设，依托城市运管服平台推动“一网统管”，累计高效处置城市管理问题1.2万件；常态化开展城镇燃气、消防、排水防涝等重点领域隐患排查整治，安全生产形势总体稳定。有效化解社会矛盾纠纷，社会大局保持和谐安定，为经济社会发展营造了安全稳定的良好环境。</w:t>
      </w:r>
    </w:p>
    <w:p w14:paraId="1F022604">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rPr>
          <w:rFonts w:hint="eastAsia" w:ascii="Times New Roman" w:hAnsi="Times New Roman" w:eastAsia="仿宋_GB2312" w:cs="仿宋_GB2312"/>
          <w:color w:val="auto"/>
          <w:spacing w:val="0"/>
          <w:sz w:val="32"/>
          <w:szCs w:val="32"/>
          <w:lang w:val="en-US" w:eastAsia="zh-CN"/>
        </w:rPr>
      </w:pPr>
      <w:r>
        <w:rPr>
          <w:rFonts w:hint="eastAsia" w:ascii="Times New Roman" w:hAnsi="Times New Roman" w:eastAsia="仿宋_GB2312" w:cs="仿宋_GB2312"/>
          <w:color w:val="auto"/>
          <w:spacing w:val="0"/>
          <w:sz w:val="32"/>
          <w:szCs w:val="32"/>
          <w:lang w:val="en-US" w:eastAsia="zh-CN"/>
        </w:rPr>
        <w:t>以上成绩的取得，是全区上下齐心协力、拼搏奋斗的结果。在总结成绩的同时，我们也清醒地认识到工作中还存在一些不足，主要表现为：持续向好的基本盘还不稳固，重点产业集而不群、缺环断链，城市精细化治理提升不够，民生服务供给与群众期待还有差距。针对这些问题，我们一定高度重视，在今后工作中采取切实有效的措施加以解决。</w:t>
      </w:r>
    </w:p>
    <w:p w14:paraId="14BC5D1B">
      <w:pPr>
        <w:pStyle w:val="11"/>
        <w:keepNext w:val="0"/>
        <w:keepLines w:val="0"/>
        <w:pageBreakBefore w:val="0"/>
        <w:widowControl w:val="0"/>
        <w:kinsoku/>
        <w:wordWrap/>
        <w:overflowPunct/>
        <w:topLinePunct w:val="0"/>
        <w:autoSpaceDE/>
        <w:autoSpaceDN/>
        <w:bidi w:val="0"/>
        <w:snapToGrid/>
        <w:spacing w:line="540" w:lineRule="exact"/>
        <w:textAlignment w:val="auto"/>
        <w:rPr>
          <w:rFonts w:hint="default" w:ascii="Times New Roman" w:hAnsi="Times New Roman"/>
          <w:sz w:val="32"/>
          <w:szCs w:val="32"/>
        </w:rPr>
      </w:pPr>
      <w:r>
        <w:rPr>
          <w:rFonts w:hint="default" w:ascii="Times New Roman" w:hAnsi="Times New Roman"/>
          <w:sz w:val="32"/>
          <w:szCs w:val="32"/>
          <w:lang w:eastAsia="zh-CN"/>
        </w:rPr>
        <w:t>二</w:t>
      </w:r>
      <w:r>
        <w:rPr>
          <w:rFonts w:hint="default" w:ascii="Times New Roman" w:hAnsi="Times New Roman"/>
          <w:sz w:val="32"/>
          <w:szCs w:val="32"/>
        </w:rPr>
        <w:t>、</w:t>
      </w:r>
      <w:r>
        <w:rPr>
          <w:rFonts w:hint="default" w:ascii="Times New Roman" w:hAnsi="Times New Roman" w:eastAsia="仿宋_GB2312"/>
          <w:sz w:val="32"/>
          <w:szCs w:val="32"/>
          <w:lang w:val="en-US" w:eastAsia="zh-CN"/>
        </w:rPr>
        <w:t>2026</w:t>
      </w:r>
      <w:r>
        <w:rPr>
          <w:rFonts w:hint="default" w:ascii="Times New Roman" w:hAnsi="Times New Roman"/>
          <w:sz w:val="32"/>
          <w:szCs w:val="32"/>
        </w:rPr>
        <w:t>年</w:t>
      </w:r>
      <w:r>
        <w:rPr>
          <w:rFonts w:hint="default" w:ascii="Times New Roman" w:hAnsi="Times New Roman"/>
          <w:sz w:val="32"/>
          <w:szCs w:val="32"/>
          <w:lang w:eastAsia="zh-CN"/>
        </w:rPr>
        <w:t>全区</w:t>
      </w:r>
      <w:r>
        <w:rPr>
          <w:rFonts w:hint="default" w:ascii="Times New Roman" w:hAnsi="Times New Roman"/>
          <w:sz w:val="32"/>
          <w:szCs w:val="32"/>
        </w:rPr>
        <w:t>国民经济和社会发展主要任务和措施</w:t>
      </w:r>
    </w:p>
    <w:p w14:paraId="69B0070B">
      <w:pPr>
        <w:pStyle w:val="14"/>
        <w:keepNext w:val="0"/>
        <w:keepLines w:val="0"/>
        <w:pageBreakBefore w:val="0"/>
        <w:widowControl w:val="0"/>
        <w:kinsoku/>
        <w:wordWrap/>
        <w:overflowPunct/>
        <w:topLinePunct w:val="0"/>
        <w:autoSpaceDE/>
        <w:autoSpaceDN/>
        <w:bidi w:val="0"/>
        <w:snapToGrid/>
        <w:spacing w:line="540" w:lineRule="exact"/>
        <w:textAlignment w:val="auto"/>
        <w:rPr>
          <w:rFonts w:hint="eastAsia" w:ascii="Times New Roman" w:hAnsi="Times New Roman" w:eastAsia="仿宋_GB2312" w:cs="仿宋_GB2312"/>
          <w:color w:val="auto"/>
          <w:spacing w:val="0"/>
          <w:sz w:val="32"/>
          <w:szCs w:val="32"/>
          <w:lang w:val="en-US" w:eastAsia="zh-CN"/>
        </w:rPr>
      </w:pPr>
      <w:r>
        <w:rPr>
          <w:rFonts w:hint="eastAsia" w:ascii="Times New Roman" w:hAnsi="Times New Roman" w:eastAsia="仿宋_GB2312" w:cs="仿宋_GB2312"/>
          <w:color w:val="auto"/>
          <w:spacing w:val="0"/>
          <w:sz w:val="32"/>
          <w:szCs w:val="32"/>
          <w:lang w:val="en-US" w:eastAsia="zh-CN"/>
        </w:rPr>
        <w:t>2026年是中国共产党成立105周年，是“十五五”规划开局起步关键之年，做好经济工作责任重大、意义深远。要深刻领会把握“十五五”时期及2026年的发展形势、发展目标、发展定位，找准关键点、切入点、结合点，砥砺奋进、实干争先，确保各项事业开好局、起好步。</w:t>
      </w:r>
    </w:p>
    <w:p w14:paraId="0798E6B4">
      <w:pPr>
        <w:pStyle w:val="11"/>
        <w:keepNext w:val="0"/>
        <w:keepLines w:val="0"/>
        <w:pageBreakBefore w:val="0"/>
        <w:widowControl w:val="0"/>
        <w:kinsoku/>
        <w:wordWrap/>
        <w:overflowPunct/>
        <w:topLinePunct w:val="0"/>
        <w:autoSpaceDE/>
        <w:autoSpaceDN/>
        <w:bidi w:val="0"/>
        <w:snapToGrid/>
        <w:spacing w:line="540" w:lineRule="exact"/>
        <w:textAlignment w:val="auto"/>
        <w:rPr>
          <w:rFonts w:hint="default" w:ascii="Times New Roman" w:hAnsi="Times New Roman"/>
          <w:sz w:val="32"/>
          <w:szCs w:val="32"/>
          <w:lang w:val="en-US" w:eastAsia="zh-CN"/>
        </w:rPr>
      </w:pPr>
      <w:r>
        <w:rPr>
          <w:rFonts w:hint="default" w:ascii="Times New Roman" w:hAnsi="Times New Roman"/>
          <w:sz w:val="32"/>
          <w:szCs w:val="32"/>
          <w:lang w:val="en-US" w:eastAsia="zh-CN"/>
        </w:rPr>
        <w:t>总体要求是：</w:t>
      </w:r>
      <w:r>
        <w:rPr>
          <w:rFonts w:hint="default" w:ascii="Times New Roman" w:hAnsi="Times New Roman"/>
          <w:sz w:val="32"/>
          <w:szCs w:val="32"/>
        </w:rPr>
        <w:t>以习近平新时代中国特色社会主义思想为指导，全面贯彻党的二十大和二十届</w:t>
      </w:r>
      <w:r>
        <w:rPr>
          <w:rFonts w:hint="default" w:ascii="Times New Roman" w:hAnsi="Times New Roman"/>
          <w:sz w:val="32"/>
          <w:szCs w:val="32"/>
          <w:lang w:val="en-US" w:eastAsia="zh-CN"/>
        </w:rPr>
        <w:t>历次</w:t>
      </w:r>
      <w:r>
        <w:rPr>
          <w:rFonts w:hint="default" w:ascii="Times New Roman" w:hAnsi="Times New Roman"/>
          <w:sz w:val="32"/>
          <w:szCs w:val="32"/>
        </w:rPr>
        <w:t>全会</w:t>
      </w:r>
      <w:r>
        <w:rPr>
          <w:rFonts w:hint="eastAsia" w:ascii="Times New Roman" w:hAnsi="Times New Roman"/>
          <w:sz w:val="32"/>
          <w:szCs w:val="32"/>
          <w:lang w:eastAsia="zh-CN"/>
        </w:rPr>
        <w:t>、</w:t>
      </w:r>
      <w:r>
        <w:rPr>
          <w:rFonts w:hint="default" w:ascii="Times New Roman" w:hAnsi="Times New Roman"/>
          <w:sz w:val="32"/>
          <w:szCs w:val="32"/>
        </w:rPr>
        <w:t>中央经济工作会议精神，</w:t>
      </w:r>
      <w:r>
        <w:rPr>
          <w:rFonts w:hint="default" w:ascii="Times New Roman" w:hAnsi="Times New Roman"/>
          <w:sz w:val="32"/>
          <w:szCs w:val="32"/>
          <w:lang w:val="en-US" w:eastAsia="zh-CN"/>
        </w:rPr>
        <w:t>深入学习贯彻习近平总书记在河南考察时重要讲话精神和关于河南工作的重要论述，</w:t>
      </w:r>
      <w:r>
        <w:rPr>
          <w:rFonts w:hint="eastAsia" w:ascii="Times New Roman" w:hAnsi="Times New Roman"/>
          <w:sz w:val="32"/>
          <w:szCs w:val="32"/>
          <w:lang w:val="en-US" w:eastAsia="zh-CN"/>
        </w:rPr>
        <w:t>聚焦省委“</w:t>
      </w:r>
      <w:r>
        <w:rPr>
          <w:rFonts w:hint="default" w:ascii="Times New Roman" w:hAnsi="Times New Roman" w:eastAsia="仿宋_GB2312"/>
          <w:sz w:val="32"/>
          <w:szCs w:val="32"/>
          <w:lang w:val="en-US" w:eastAsia="zh-CN"/>
        </w:rPr>
        <w:t>1</w:t>
      </w:r>
      <w:r>
        <w:rPr>
          <w:rFonts w:hint="default" w:ascii="Times New Roman" w:hAnsi="Times New Roman"/>
          <w:sz w:val="32"/>
          <w:szCs w:val="32"/>
          <w:lang w:val="en-US" w:eastAsia="zh-CN"/>
        </w:rPr>
        <w:t>+</w:t>
      </w:r>
      <w:r>
        <w:rPr>
          <w:rFonts w:hint="default" w:ascii="Times New Roman" w:hAnsi="Times New Roman" w:eastAsia="仿宋_GB2312"/>
          <w:sz w:val="32"/>
          <w:szCs w:val="32"/>
          <w:lang w:val="en-US" w:eastAsia="zh-CN"/>
        </w:rPr>
        <w:t>2</w:t>
      </w:r>
      <w:r>
        <w:rPr>
          <w:rFonts w:hint="default" w:ascii="Times New Roman" w:hAnsi="Times New Roman"/>
          <w:sz w:val="32"/>
          <w:szCs w:val="32"/>
          <w:lang w:val="en-US" w:eastAsia="zh-CN"/>
        </w:rPr>
        <w:t>+</w:t>
      </w:r>
      <w:r>
        <w:rPr>
          <w:rFonts w:hint="default" w:ascii="Times New Roman" w:hAnsi="Times New Roman" w:eastAsia="仿宋_GB2312"/>
          <w:sz w:val="32"/>
          <w:szCs w:val="32"/>
          <w:lang w:val="en-US" w:eastAsia="zh-CN"/>
        </w:rPr>
        <w:t>4</w:t>
      </w:r>
      <w:r>
        <w:rPr>
          <w:rFonts w:hint="default" w:ascii="Times New Roman" w:hAnsi="Times New Roman"/>
          <w:sz w:val="32"/>
          <w:szCs w:val="32"/>
          <w:lang w:val="en-US" w:eastAsia="zh-CN"/>
        </w:rPr>
        <w:t>+N</w:t>
      </w:r>
      <w:r>
        <w:rPr>
          <w:rFonts w:hint="eastAsia" w:ascii="Times New Roman" w:hAnsi="Times New Roman"/>
          <w:sz w:val="32"/>
          <w:szCs w:val="32"/>
          <w:lang w:val="en-US" w:eastAsia="zh-CN"/>
        </w:rPr>
        <w:t>”</w:t>
      </w:r>
      <w:r>
        <w:rPr>
          <w:rFonts w:hint="default" w:ascii="Times New Roman" w:hAnsi="Times New Roman"/>
          <w:sz w:val="32"/>
          <w:szCs w:val="32"/>
          <w:lang w:val="en-US" w:eastAsia="zh-CN"/>
        </w:rPr>
        <w:t>目标任务体系</w:t>
      </w:r>
      <w:r>
        <w:rPr>
          <w:rFonts w:hint="eastAsia" w:ascii="Times New Roman" w:hAnsi="Times New Roman"/>
          <w:sz w:val="32"/>
          <w:szCs w:val="32"/>
          <w:lang w:val="en-US" w:eastAsia="zh-CN"/>
        </w:rPr>
        <w:t>，锚定市委“打造豫南开放门户、争做老区发展先锋”总目标和“两城三地一枢纽”发展定位，以落实“重点工作提速增效年”为抓手，更好统筹发展和安全，因地制宜发展新质生产力，持续防范化解重点领域风险，推动经济实现质的有效提升和量的合理增长，奋力实现“十五五”良好开局。</w:t>
      </w:r>
    </w:p>
    <w:p w14:paraId="6CE82A86">
      <w:pPr>
        <w:pStyle w:val="11"/>
        <w:keepNext w:val="0"/>
        <w:keepLines w:val="0"/>
        <w:pageBreakBefore w:val="0"/>
        <w:widowControl w:val="0"/>
        <w:kinsoku/>
        <w:wordWrap/>
        <w:overflowPunct/>
        <w:topLinePunct w:val="0"/>
        <w:autoSpaceDE/>
        <w:autoSpaceDN/>
        <w:bidi w:val="0"/>
        <w:snapToGrid/>
        <w:spacing w:line="540" w:lineRule="exact"/>
        <w:textAlignment w:val="auto"/>
        <w:rPr>
          <w:rFonts w:hint="default" w:ascii="Times New Roman" w:hAnsi="Times New Roman"/>
          <w:sz w:val="32"/>
          <w:szCs w:val="32"/>
        </w:rPr>
      </w:pPr>
      <w:r>
        <w:rPr>
          <w:rFonts w:hint="default" w:ascii="Times New Roman" w:hAnsi="Times New Roman"/>
          <w:sz w:val="32"/>
          <w:szCs w:val="32"/>
        </w:rPr>
        <w:t>主要预期目标是：经济增长</w:t>
      </w:r>
      <w:r>
        <w:rPr>
          <w:rFonts w:hint="default" w:ascii="Times New Roman" w:hAnsi="Times New Roman" w:eastAsia="仿宋_GB2312"/>
          <w:sz w:val="32"/>
          <w:szCs w:val="32"/>
        </w:rPr>
        <w:t>5</w:t>
      </w:r>
      <w:r>
        <w:rPr>
          <w:rFonts w:hint="default" w:ascii="Times New Roman" w:hAnsi="Times New Roman"/>
          <w:sz w:val="32"/>
          <w:szCs w:val="32"/>
        </w:rPr>
        <w:t>%以上、高于全市增速，规上工业增加值增长</w:t>
      </w:r>
      <w:r>
        <w:rPr>
          <w:rFonts w:hint="default" w:ascii="Times New Roman" w:hAnsi="Times New Roman" w:eastAsia="仿宋_GB2312"/>
          <w:sz w:val="32"/>
          <w:szCs w:val="32"/>
        </w:rPr>
        <w:t>8</w:t>
      </w:r>
      <w:r>
        <w:rPr>
          <w:rFonts w:hint="default" w:ascii="Times New Roman" w:hAnsi="Times New Roman"/>
          <w:sz w:val="32"/>
          <w:szCs w:val="32"/>
        </w:rPr>
        <w:t>%左右，固定资产投资增长</w:t>
      </w:r>
      <w:r>
        <w:rPr>
          <w:rFonts w:hint="default" w:ascii="Times New Roman" w:hAnsi="Times New Roman" w:eastAsia="仿宋_GB2312"/>
          <w:sz w:val="32"/>
          <w:szCs w:val="32"/>
        </w:rPr>
        <w:t>5</w:t>
      </w:r>
      <w:r>
        <w:rPr>
          <w:rFonts w:hint="default" w:ascii="Times New Roman" w:hAnsi="Times New Roman"/>
          <w:sz w:val="32"/>
          <w:szCs w:val="32"/>
        </w:rPr>
        <w:t>.</w:t>
      </w:r>
      <w:r>
        <w:rPr>
          <w:rFonts w:hint="default" w:ascii="Times New Roman" w:hAnsi="Times New Roman" w:eastAsia="仿宋_GB2312"/>
          <w:sz w:val="32"/>
          <w:szCs w:val="32"/>
        </w:rPr>
        <w:t>5</w:t>
      </w:r>
      <w:r>
        <w:rPr>
          <w:rFonts w:hint="default" w:ascii="Times New Roman" w:hAnsi="Times New Roman"/>
          <w:sz w:val="32"/>
          <w:szCs w:val="32"/>
        </w:rPr>
        <w:t>%以上，社会消费品零售总额增长</w:t>
      </w:r>
      <w:r>
        <w:rPr>
          <w:rFonts w:hint="default" w:ascii="Times New Roman" w:hAnsi="Times New Roman" w:eastAsia="仿宋_GB2312"/>
          <w:sz w:val="32"/>
          <w:szCs w:val="32"/>
        </w:rPr>
        <w:t>5</w:t>
      </w:r>
      <w:r>
        <w:rPr>
          <w:rFonts w:hint="default" w:ascii="Times New Roman" w:hAnsi="Times New Roman"/>
          <w:sz w:val="32"/>
          <w:szCs w:val="32"/>
        </w:rPr>
        <w:t>.</w:t>
      </w:r>
      <w:r>
        <w:rPr>
          <w:rFonts w:hint="default" w:ascii="Times New Roman" w:hAnsi="Times New Roman" w:eastAsia="仿宋_GB2312"/>
          <w:sz w:val="32"/>
          <w:szCs w:val="32"/>
        </w:rPr>
        <w:t>5</w:t>
      </w:r>
      <w:r>
        <w:rPr>
          <w:rFonts w:hint="default" w:ascii="Times New Roman" w:hAnsi="Times New Roman"/>
          <w:sz w:val="32"/>
          <w:szCs w:val="32"/>
        </w:rPr>
        <w:t>%左右，一般公共预算收入增长</w:t>
      </w:r>
      <w:r>
        <w:rPr>
          <w:rFonts w:hint="default" w:ascii="Times New Roman" w:hAnsi="Times New Roman" w:eastAsia="仿宋_GB2312"/>
          <w:sz w:val="32"/>
          <w:szCs w:val="32"/>
        </w:rPr>
        <w:t>4</w:t>
      </w:r>
      <w:r>
        <w:rPr>
          <w:rFonts w:hint="default" w:ascii="Times New Roman" w:hAnsi="Times New Roman"/>
          <w:sz w:val="32"/>
          <w:szCs w:val="32"/>
        </w:rPr>
        <w:t>%，新增城镇就业</w:t>
      </w:r>
      <w:r>
        <w:rPr>
          <w:rFonts w:hint="default" w:ascii="Times New Roman" w:hAnsi="Times New Roman" w:eastAsia="仿宋_GB2312"/>
          <w:sz w:val="32"/>
          <w:szCs w:val="32"/>
        </w:rPr>
        <w:t>8000</w:t>
      </w:r>
      <w:r>
        <w:rPr>
          <w:rFonts w:hint="default" w:ascii="Times New Roman" w:hAnsi="Times New Roman"/>
          <w:sz w:val="32"/>
          <w:szCs w:val="32"/>
        </w:rPr>
        <w:t>人以上，居民消费价格涨幅</w:t>
      </w:r>
      <w:r>
        <w:rPr>
          <w:rFonts w:hint="default" w:ascii="Times New Roman" w:hAnsi="Times New Roman" w:eastAsia="仿宋_GB2312"/>
          <w:sz w:val="32"/>
          <w:szCs w:val="32"/>
        </w:rPr>
        <w:t>2</w:t>
      </w:r>
      <w:r>
        <w:rPr>
          <w:rFonts w:hint="default" w:ascii="Times New Roman" w:hAnsi="Times New Roman"/>
          <w:sz w:val="32"/>
          <w:szCs w:val="32"/>
        </w:rPr>
        <w:t>%左右，居民收入增长高于经济增长，粮食产量稳定在</w:t>
      </w:r>
      <w:r>
        <w:rPr>
          <w:rFonts w:hint="default" w:ascii="Times New Roman" w:hAnsi="Times New Roman" w:eastAsia="仿宋_GB2312"/>
          <w:sz w:val="32"/>
          <w:szCs w:val="32"/>
        </w:rPr>
        <w:t>10</w:t>
      </w:r>
      <w:r>
        <w:rPr>
          <w:rFonts w:hint="default" w:ascii="Times New Roman" w:hAnsi="Times New Roman"/>
          <w:sz w:val="32"/>
          <w:szCs w:val="32"/>
        </w:rPr>
        <w:t>亿斤以上，单位生产总值碳排放与“十五五”控制目标统筹衔接。</w:t>
      </w:r>
    </w:p>
    <w:p w14:paraId="0F7B8AD6">
      <w:pPr>
        <w:keepNext w:val="0"/>
        <w:keepLines w:val="0"/>
        <w:pageBreakBefore w:val="0"/>
        <w:widowControl w:val="0"/>
        <w:kinsoku/>
        <w:wordWrap/>
        <w:overflowPunct/>
        <w:topLinePunct w:val="0"/>
        <w:autoSpaceDE/>
        <w:autoSpaceDN/>
        <w:bidi w:val="0"/>
        <w:snapToGrid/>
        <w:spacing w:line="540" w:lineRule="exact"/>
        <w:ind w:firstLine="640" w:firstLineChars="200"/>
        <w:textAlignment w:val="auto"/>
        <w:rPr>
          <w:rFonts w:hint="default" w:ascii="Times New Roman" w:hAnsi="Times New Roman" w:eastAsia="仿宋_GB2312" w:cs="Times New Roman"/>
          <w:b w:val="0"/>
          <w:bCs w:val="0"/>
          <w:color w:val="000000"/>
          <w:spacing w:val="0"/>
          <w:sz w:val="32"/>
          <w:szCs w:val="32"/>
          <w:lang w:val="en-US" w:eastAsia="zh-CN"/>
        </w:rPr>
      </w:pPr>
      <w:r>
        <w:rPr>
          <w:rFonts w:hint="default" w:ascii="Times New Roman" w:hAnsi="Times New Roman" w:eastAsia="仿宋_GB2312" w:cs="Times New Roman"/>
          <w:b w:val="0"/>
          <w:bCs w:val="0"/>
          <w:color w:val="000000"/>
          <w:spacing w:val="0"/>
          <w:sz w:val="32"/>
          <w:szCs w:val="32"/>
          <w:lang w:val="en-US" w:eastAsia="zh-CN"/>
        </w:rPr>
        <w:t>围绕以上目标，重点做好六个方面工作：</w:t>
      </w:r>
    </w:p>
    <w:p w14:paraId="6CA0D048">
      <w:pPr>
        <w:keepNext w:val="0"/>
        <w:keepLines w:val="0"/>
        <w:pageBreakBefore w:val="0"/>
        <w:widowControl w:val="0"/>
        <w:kinsoku/>
        <w:wordWrap/>
        <w:overflowPunct/>
        <w:topLinePunct w:val="0"/>
        <w:autoSpaceDE/>
        <w:autoSpaceDN/>
        <w:bidi w:val="0"/>
        <w:snapToGrid/>
        <w:spacing w:line="540" w:lineRule="exact"/>
        <w:ind w:leftChars="0" w:firstLine="643" w:firstLineChars="200"/>
        <w:jc w:val="both"/>
        <w:textAlignment w:val="auto"/>
        <w:rPr>
          <w:rFonts w:hint="eastAsia" w:ascii="Times New Roman" w:hAnsi="Times New Roman" w:eastAsia="仿宋_GB2312" w:cs="仿宋_GB2312"/>
          <w:color w:val="auto"/>
          <w:spacing w:val="0"/>
          <w:kern w:val="0"/>
          <w:sz w:val="32"/>
          <w:szCs w:val="32"/>
          <w:lang w:val="en-US" w:eastAsia="zh-CN" w:bidi="ar-SA"/>
        </w:rPr>
      </w:pPr>
      <w:r>
        <w:rPr>
          <w:rStyle w:val="12"/>
          <w:rFonts w:hint="default" w:ascii="Times New Roman" w:hAnsi="Times New Roman"/>
          <w:sz w:val="32"/>
          <w:szCs w:val="32"/>
          <w:lang w:val="en-US" w:eastAsia="zh-CN"/>
        </w:rPr>
        <w:t>（一）聚焦稳增长强动能，夯实高质量发展根基。</w:t>
      </w:r>
      <w:r>
        <w:rPr>
          <w:rFonts w:hint="eastAsia" w:ascii="Times New Roman" w:hAnsi="Times New Roman" w:eastAsia="仿宋_GB2312" w:cs="仿宋_GB2312"/>
          <w:b/>
          <w:bCs/>
          <w:color w:val="auto"/>
          <w:spacing w:val="0"/>
          <w:kern w:val="0"/>
          <w:sz w:val="32"/>
          <w:szCs w:val="32"/>
          <w:lang w:val="en-US" w:eastAsia="zh-CN" w:bidi="ar-SA"/>
        </w:rPr>
        <w:t>积极扩大有效投资。</w:t>
      </w:r>
      <w:r>
        <w:rPr>
          <w:rFonts w:hint="eastAsia" w:ascii="Times New Roman" w:hAnsi="Times New Roman" w:eastAsia="仿宋_GB2312" w:cs="仿宋_GB2312"/>
          <w:b w:val="0"/>
          <w:bCs w:val="0"/>
          <w:color w:val="auto"/>
          <w:spacing w:val="0"/>
          <w:kern w:val="0"/>
          <w:sz w:val="32"/>
          <w:szCs w:val="32"/>
          <w:lang w:val="en-US" w:eastAsia="zh-CN" w:bidi="ar-SA"/>
        </w:rPr>
        <w:t>坚持“项目为王”，</w:t>
      </w:r>
      <w:r>
        <w:rPr>
          <w:rFonts w:hint="eastAsia" w:ascii="Times New Roman" w:hAnsi="Times New Roman" w:eastAsia="仿宋_GB2312" w:cs="仿宋_GB2312"/>
          <w:color w:val="auto"/>
          <w:spacing w:val="0"/>
          <w:kern w:val="0"/>
          <w:sz w:val="32"/>
          <w:szCs w:val="32"/>
          <w:lang w:val="en-US" w:eastAsia="zh-CN" w:bidi="ar-SA"/>
        </w:rPr>
        <w:t>紧抓中央“两重”“两新”等重大政策机遇，精准对接超长期特别国债、专项债、中央预算内投资支持领域，系统谋划储备一批重大项目，力争全年纳入省、市重点项目不少于40个，完成年度投资100亿元以上，“双百工程”项目不少于2个，完成年度投资45亿元以上。聚焦七类重点项目，扎实开展“项目建设”“项目竣工”百日攻坚，强化要素保障与项目全生命周期管理，推动形成更多投资量、实物量和贡献量。完善以入库纳统为导向的项目推进机制，力争重点项目入库率达到75%以上。</w:t>
      </w:r>
      <w:r>
        <w:rPr>
          <w:rFonts w:hint="eastAsia" w:ascii="Times New Roman" w:hAnsi="Times New Roman" w:eastAsia="仿宋_GB2312" w:cs="仿宋_GB2312"/>
          <w:b/>
          <w:bCs/>
          <w:color w:val="auto"/>
          <w:spacing w:val="0"/>
          <w:kern w:val="0"/>
          <w:sz w:val="32"/>
          <w:szCs w:val="32"/>
          <w:lang w:val="en-US" w:eastAsia="zh-CN" w:bidi="ar-SA"/>
        </w:rPr>
        <w:t>激发消费潜能。</w:t>
      </w:r>
      <w:r>
        <w:rPr>
          <w:rFonts w:hint="eastAsia" w:ascii="Times New Roman" w:hAnsi="Times New Roman" w:eastAsia="仿宋_GB2312" w:cs="仿宋_GB2312"/>
          <w:color w:val="auto"/>
          <w:spacing w:val="0"/>
          <w:kern w:val="0"/>
          <w:sz w:val="32"/>
          <w:szCs w:val="32"/>
          <w:lang w:val="en-US" w:eastAsia="zh-CN" w:bidi="ar-SA"/>
        </w:rPr>
        <w:t>深入实施提振消费专项行动，加强消费券在零售、餐饮、文旅等领域的精准投放，落实个人消费贷款财政贴息等促消费政策。加快推进“好房子”建设，更好满足居民刚性和改善性住房需求。推动西亚城、丽宝广场、小桥胡同等商圈业态升级，积极培育夜间经济、首发经济等新场景，扩大优质商品和服务供给。</w:t>
      </w:r>
      <w:r>
        <w:rPr>
          <w:rFonts w:hint="eastAsia" w:ascii="Times New Roman" w:hAnsi="Times New Roman" w:eastAsia="仿宋_GB2312" w:cs="仿宋_GB2312"/>
          <w:b/>
          <w:bCs/>
          <w:color w:val="auto"/>
          <w:spacing w:val="0"/>
          <w:kern w:val="0"/>
          <w:sz w:val="32"/>
          <w:szCs w:val="32"/>
          <w:lang w:val="en-US" w:eastAsia="zh-CN" w:bidi="ar-SA"/>
        </w:rPr>
        <w:t>优化发展环境。</w:t>
      </w:r>
      <w:r>
        <w:rPr>
          <w:rFonts w:hint="eastAsia" w:ascii="Times New Roman" w:hAnsi="Times New Roman" w:eastAsia="仿宋_GB2312" w:cs="仿宋_GB2312"/>
          <w:color w:val="auto"/>
          <w:spacing w:val="0"/>
          <w:kern w:val="0"/>
          <w:sz w:val="32"/>
          <w:szCs w:val="32"/>
          <w:lang w:val="en-US" w:eastAsia="zh-CN" w:bidi="ar-SA"/>
        </w:rPr>
        <w:t>积极融入服务全国统一大市场建设，开展新一轮10个营商环境重点事项攻坚。营造公平竞争的市场环境，健全“高效办成一件事”常态化推进机制，严格落实“扫码入企”“综合查一次”。运用好领导干部包联、“万人助万企”“周一见”纾难解困等服务机制，加力推进清理拖欠企业账款行动，持续加强产销、银企、用工对接，推动各类政策应享尽享、免申即享，力争全年新增规上工业企业15家以上。</w:t>
      </w:r>
    </w:p>
    <w:p w14:paraId="1DAB8E41">
      <w:pPr>
        <w:keepNext w:val="0"/>
        <w:keepLines w:val="0"/>
        <w:pageBreakBefore w:val="0"/>
        <w:widowControl w:val="0"/>
        <w:kinsoku/>
        <w:wordWrap/>
        <w:overflowPunct/>
        <w:topLinePunct w:val="0"/>
        <w:autoSpaceDE/>
        <w:autoSpaceDN/>
        <w:bidi w:val="0"/>
        <w:snapToGrid/>
        <w:spacing w:line="540" w:lineRule="exact"/>
        <w:ind w:leftChars="0" w:firstLine="643" w:firstLineChars="200"/>
        <w:jc w:val="both"/>
        <w:textAlignment w:val="auto"/>
        <w:rPr>
          <w:rFonts w:hint="eastAsia" w:ascii="Times New Roman" w:hAnsi="Times New Roman" w:eastAsia="仿宋_GB2312" w:cs="仿宋_GB2312"/>
          <w:color w:val="auto"/>
          <w:spacing w:val="0"/>
          <w:kern w:val="0"/>
          <w:sz w:val="32"/>
          <w:szCs w:val="32"/>
          <w:lang w:val="en-US" w:eastAsia="zh-CN" w:bidi="ar-SA"/>
        </w:rPr>
      </w:pPr>
      <w:r>
        <w:rPr>
          <w:rStyle w:val="12"/>
          <w:rFonts w:hint="default" w:ascii="Times New Roman" w:hAnsi="Times New Roman"/>
          <w:sz w:val="32"/>
          <w:szCs w:val="32"/>
          <w:lang w:val="en-US" w:eastAsia="zh-CN"/>
        </w:rPr>
        <w:t>（二）聚焦强链条促集群，构建现代化产业体系。</w:t>
      </w:r>
      <w:r>
        <w:rPr>
          <w:rFonts w:hint="default" w:ascii="Times New Roman" w:hAnsi="Times New Roman" w:eastAsia="仿宋_GB2312" w:cs="Times New Roman"/>
          <w:b/>
          <w:bCs/>
          <w:color w:val="auto"/>
          <w:spacing w:val="0"/>
          <w:kern w:val="0"/>
          <w:sz w:val="32"/>
          <w:szCs w:val="32"/>
          <w:lang w:val="en-US" w:eastAsia="zh-CN" w:bidi="ar-SA"/>
        </w:rPr>
        <w:t>推动链群能级跃升。</w:t>
      </w:r>
      <w:r>
        <w:rPr>
          <w:rFonts w:hint="eastAsia" w:ascii="Times New Roman" w:hAnsi="Times New Roman" w:eastAsia="仿宋_GB2312" w:cs="仿宋_GB2312"/>
          <w:b w:val="0"/>
          <w:bCs w:val="0"/>
          <w:color w:val="auto"/>
          <w:spacing w:val="0"/>
          <w:kern w:val="0"/>
          <w:sz w:val="32"/>
          <w:szCs w:val="32"/>
          <w:lang w:val="en-US" w:eastAsia="zh-CN" w:bidi="ar-SA"/>
        </w:rPr>
        <w:t>围绕“六新两品”产业布局，</w:t>
      </w:r>
      <w:r>
        <w:rPr>
          <w:rFonts w:hint="eastAsia" w:ascii="Times New Roman" w:hAnsi="Times New Roman" w:eastAsia="仿宋_GB2312" w:cs="仿宋_GB2312"/>
          <w:color w:val="auto"/>
          <w:spacing w:val="0"/>
          <w:kern w:val="0"/>
          <w:sz w:val="32"/>
          <w:szCs w:val="32"/>
          <w:lang w:val="en-US" w:eastAsia="zh-CN" w:bidi="ar-SA"/>
        </w:rPr>
        <w:t>开展重点产业链高质量发展行动，加快建设先进制造业高质量发展示范区。新材料产业，支持信钢完成环保绩效A级创建，推动天地和金属制品、华泽60万吨镀锌管等项目投产，加快恒盛新材料、科迪达膨润土深加工等项目建设，发展石油固井剂等高端功能材料，打造豫南非金属矿物功能材料基地</w:t>
      </w:r>
      <w:r>
        <w:rPr>
          <w:rFonts w:hint="eastAsia" w:cs="仿宋_GB2312"/>
          <w:color w:val="auto"/>
          <w:spacing w:val="0"/>
          <w:kern w:val="0"/>
          <w:sz w:val="32"/>
          <w:szCs w:val="32"/>
          <w:lang w:val="en-US" w:eastAsia="zh-CN" w:bidi="ar-SA"/>
        </w:rPr>
        <w:t>，</w:t>
      </w:r>
      <w:r>
        <w:rPr>
          <w:rFonts w:hint="eastAsia" w:ascii="Times New Roman" w:hAnsi="Times New Roman" w:eastAsia="仿宋_GB2312" w:cs="仿宋_GB2312"/>
          <w:color w:val="auto"/>
          <w:spacing w:val="0"/>
          <w:kern w:val="0"/>
          <w:sz w:val="32"/>
          <w:szCs w:val="32"/>
          <w:lang w:val="en-US" w:eastAsia="zh-CN" w:bidi="ar-SA"/>
        </w:rPr>
        <w:t>推动</w:t>
      </w:r>
      <w:r>
        <w:rPr>
          <w:rFonts w:hint="eastAsia" w:ascii="Times New Roman" w:hAnsi="Times New Roman" w:cs="仿宋_GB2312"/>
          <w:color w:val="auto"/>
          <w:spacing w:val="0"/>
          <w:kern w:val="0"/>
          <w:sz w:val="32"/>
          <w:szCs w:val="32"/>
          <w:lang w:val="en-US" w:eastAsia="zh-CN" w:bidi="ar-SA"/>
        </w:rPr>
        <w:t>新材料</w:t>
      </w:r>
      <w:r>
        <w:rPr>
          <w:rFonts w:hint="eastAsia"/>
          <w:color w:val="auto"/>
          <w:lang w:val="en-US" w:eastAsia="zh-CN"/>
        </w:rPr>
        <w:t>链群规模达到</w:t>
      </w:r>
      <w:r>
        <w:rPr>
          <w:rFonts w:hint="eastAsia" w:ascii="Times New Roman" w:hAnsi="Times New Roman" w:eastAsia="仿宋_GB2312"/>
          <w:color w:val="auto"/>
          <w:lang w:val="en-US" w:eastAsia="zh-CN"/>
        </w:rPr>
        <w:t>580</w:t>
      </w:r>
      <w:r>
        <w:rPr>
          <w:rFonts w:hint="eastAsia"/>
          <w:color w:val="auto"/>
          <w:lang w:val="en-US" w:eastAsia="zh-CN"/>
        </w:rPr>
        <w:t>亿元</w:t>
      </w:r>
      <w:r>
        <w:rPr>
          <w:rFonts w:hint="eastAsia" w:ascii="Times New Roman" w:hAnsi="Times New Roman" w:eastAsia="仿宋_GB2312" w:cs="仿宋_GB2312"/>
          <w:color w:val="auto"/>
          <w:spacing w:val="0"/>
          <w:kern w:val="0"/>
          <w:sz w:val="32"/>
          <w:szCs w:val="32"/>
          <w:lang w:val="en-US" w:eastAsia="zh-CN" w:bidi="ar-SA"/>
        </w:rPr>
        <w:t>。新能源产业，建成陕煤电力“两个一体化”项目，推进绿色能源装备产业基地、陕煤风电、梨园风电等项目建设，谋划布局氢能及新型储能产业，打造百亿级新能源产业集群。新装备产业，扩大航空精密部件生产规模，加快首航、中航智、明阳碲化镉发电玻璃等项目投产，谋划建设信阳市低空经济产业园。新一代信息技术产业，支持舜宇光学向AR/VR领域拓展，推动康佳集团完成半导体显示项目收购，加快鼎润科技技改和电子电镀产业园建设。新型轻纺与新医药产业，加强企业培育扶持，推进建链补链强链。品牌农业与品质文旅，推动农村一二三产融合，培育壮大六大农业产业链；深化“文旅+百业”“百业+文旅”，加强红色遗址保护利用，推动城阳城址争创国家考古遗址公园，持续擦亮“豫风楚韵、诗画平桥”品牌。</w:t>
      </w:r>
      <w:r>
        <w:rPr>
          <w:rFonts w:hint="eastAsia" w:ascii="Times New Roman" w:hAnsi="Times New Roman" w:eastAsia="仿宋_GB2312" w:cs="仿宋_GB2312"/>
          <w:b/>
          <w:bCs/>
          <w:color w:val="auto"/>
          <w:spacing w:val="0"/>
          <w:kern w:val="0"/>
          <w:sz w:val="32"/>
          <w:szCs w:val="32"/>
          <w:lang w:val="en-US" w:eastAsia="zh-CN" w:bidi="ar-SA"/>
        </w:rPr>
        <w:t>强化科技创新驱动。</w:t>
      </w:r>
      <w:r>
        <w:rPr>
          <w:rFonts w:hint="eastAsia" w:ascii="Times New Roman" w:hAnsi="Times New Roman" w:eastAsia="仿宋_GB2312" w:cs="仿宋_GB2312"/>
          <w:color w:val="auto"/>
          <w:spacing w:val="0"/>
          <w:kern w:val="0"/>
          <w:sz w:val="32"/>
          <w:szCs w:val="32"/>
          <w:lang w:val="en-US" w:eastAsia="zh-CN" w:bidi="ar-SA"/>
        </w:rPr>
        <w:t>深化与省科学院等机构合作，新增市级以上创新平台8家。支持龙头企业争创省级创新龙头，力争新培育</w:t>
      </w:r>
      <w:r>
        <w:rPr>
          <w:rFonts w:hint="eastAsia"/>
          <w:color w:val="auto"/>
        </w:rPr>
        <w:t>专精特新“小巨人”</w:t>
      </w:r>
      <w:r>
        <w:rPr>
          <w:rFonts w:hint="eastAsia" w:ascii="Times New Roman" w:hAnsi="Times New Roman" w:eastAsia="仿宋_GB2312" w:cs="仿宋_GB2312"/>
          <w:color w:val="auto"/>
          <w:spacing w:val="0"/>
          <w:kern w:val="0"/>
          <w:sz w:val="32"/>
          <w:szCs w:val="32"/>
          <w:lang w:val="en-US" w:eastAsia="zh-CN" w:bidi="ar-SA"/>
        </w:rPr>
        <w:t>5家以上、科技型中小企业160家以上。常态化开展“政产学研金”对接，加速成果转化。持续推动产业数字化，再培育一批国家级绿色工厂、省级智能车间和数字化转型标杆企业。</w:t>
      </w:r>
      <w:r>
        <w:rPr>
          <w:rFonts w:hint="eastAsia" w:ascii="Times New Roman" w:hAnsi="Times New Roman" w:eastAsia="仿宋_GB2312" w:cs="仿宋_GB2312"/>
          <w:b/>
          <w:bCs/>
          <w:color w:val="auto"/>
          <w:spacing w:val="0"/>
          <w:kern w:val="0"/>
          <w:sz w:val="32"/>
          <w:szCs w:val="32"/>
          <w:lang w:val="en-US" w:eastAsia="zh-CN" w:bidi="ar-SA"/>
        </w:rPr>
        <w:t>提升招商引资质效。</w:t>
      </w:r>
      <w:r>
        <w:rPr>
          <w:rFonts w:hint="eastAsia" w:ascii="Times New Roman" w:hAnsi="Times New Roman" w:eastAsia="仿宋_GB2312" w:cs="仿宋_GB2312"/>
          <w:color w:val="auto"/>
          <w:spacing w:val="0"/>
          <w:kern w:val="0"/>
          <w:sz w:val="32"/>
          <w:szCs w:val="32"/>
          <w:lang w:val="en-US" w:eastAsia="zh-CN" w:bidi="ar-SA"/>
        </w:rPr>
        <w:t>扎实开展“项目招引”百日攻坚，坚持“三员上阵、四箭齐发、五会共商”工作法，扎实开展“两个遍访”“两个收集”，营造大招商、招大商的浓厚氛围，加快完善产业链招商图谱，积极对接长三角、大湾区、京津冀等重点区域，精准捕捉和动态储备优质招商线索，力争全年新签约落地10亿元以上项目5个、亿元以上项目20个。强化项目全生命周期服务与要素保障，推动项目快落地、快建设、快达效。</w:t>
      </w:r>
    </w:p>
    <w:p w14:paraId="7C471393">
      <w:pPr>
        <w:keepNext w:val="0"/>
        <w:keepLines w:val="0"/>
        <w:pageBreakBefore w:val="0"/>
        <w:widowControl w:val="0"/>
        <w:kinsoku/>
        <w:wordWrap/>
        <w:overflowPunct/>
        <w:topLinePunct w:val="0"/>
        <w:autoSpaceDE/>
        <w:autoSpaceDN/>
        <w:bidi w:val="0"/>
        <w:snapToGrid/>
        <w:spacing w:line="540" w:lineRule="exact"/>
        <w:ind w:leftChars="0" w:firstLine="643" w:firstLineChars="200"/>
        <w:jc w:val="both"/>
        <w:textAlignment w:val="auto"/>
        <w:rPr>
          <w:rFonts w:hint="eastAsia" w:ascii="Times New Roman" w:hAnsi="Times New Roman" w:eastAsia="仿宋_GB2312" w:cs="仿宋_GB2312"/>
          <w:color w:val="auto"/>
          <w:spacing w:val="0"/>
          <w:kern w:val="0"/>
          <w:sz w:val="32"/>
          <w:szCs w:val="32"/>
          <w:lang w:val="en-US" w:eastAsia="zh-CN" w:bidi="ar-SA"/>
        </w:rPr>
      </w:pPr>
      <w:r>
        <w:rPr>
          <w:rStyle w:val="12"/>
          <w:rFonts w:hint="default" w:ascii="Times New Roman" w:hAnsi="Times New Roman"/>
          <w:sz w:val="32"/>
          <w:szCs w:val="32"/>
        </w:rPr>
        <w:t>（三）聚焦提品质优功能，建设现代化宜居城市。</w:t>
      </w:r>
      <w:r>
        <w:rPr>
          <w:rFonts w:hint="eastAsia" w:ascii="Times New Roman" w:hAnsi="Times New Roman" w:eastAsia="仿宋_GB2312" w:cs="仿宋_GB2312"/>
          <w:b/>
          <w:bCs/>
          <w:color w:val="auto"/>
          <w:spacing w:val="0"/>
          <w:kern w:val="0"/>
          <w:sz w:val="32"/>
          <w:szCs w:val="32"/>
          <w:lang w:val="en-US" w:eastAsia="zh-CN" w:bidi="ar-SA"/>
        </w:rPr>
        <w:t>优化国土空间布局。</w:t>
      </w:r>
      <w:r>
        <w:rPr>
          <w:rFonts w:hint="eastAsia" w:ascii="Times New Roman" w:hAnsi="Times New Roman" w:eastAsia="仿宋_GB2312" w:cs="仿宋_GB2312"/>
          <w:color w:val="auto"/>
          <w:spacing w:val="0"/>
          <w:kern w:val="0"/>
          <w:sz w:val="32"/>
          <w:szCs w:val="32"/>
          <w:lang w:val="en-US" w:eastAsia="zh-CN" w:bidi="ar-SA"/>
        </w:rPr>
        <w:t> 严格落实“三区三线”管控，全面完成乡镇国土空间规划评审及报批工作。加大批而未供和闲置土地处置力度，优先保障产业与项目用地。规划建设产教融合、研学实践等“四大中心”，加快建设青年发展型城市。</w:t>
      </w:r>
      <w:r>
        <w:rPr>
          <w:rFonts w:hint="eastAsia" w:ascii="Times New Roman" w:hAnsi="Times New Roman" w:eastAsia="仿宋_GB2312" w:cs="仿宋_GB2312"/>
          <w:b/>
          <w:bCs/>
          <w:color w:val="auto"/>
          <w:spacing w:val="0"/>
          <w:kern w:val="0"/>
          <w:sz w:val="32"/>
          <w:szCs w:val="32"/>
          <w:lang w:val="en-US" w:eastAsia="zh-CN" w:bidi="ar-SA"/>
        </w:rPr>
        <w:t>提升城市宜居品质。</w:t>
      </w:r>
      <w:r>
        <w:rPr>
          <w:rFonts w:hint="eastAsia" w:ascii="Times New Roman" w:hAnsi="Times New Roman" w:eastAsia="仿宋_GB2312" w:cs="仿宋_GB2312"/>
          <w:color w:val="auto"/>
          <w:spacing w:val="0"/>
          <w:kern w:val="0"/>
          <w:sz w:val="32"/>
          <w:szCs w:val="32"/>
          <w:lang w:val="en-US" w:eastAsia="zh-CN" w:bidi="ar-SA"/>
        </w:rPr>
        <w:t>统筹推进路网与绿网建设，提质改造行政路、浉河北路，新增公园游园3个、绿地面积2万平方米。</w:t>
      </w:r>
      <w:r>
        <w:rPr>
          <w:rFonts w:hint="eastAsia"/>
        </w:rPr>
        <w:t>实施</w:t>
      </w:r>
      <w:r>
        <w:rPr>
          <w:rFonts w:hint="eastAsia" w:ascii="Times New Roman" w:hAnsi="Times New Roman" w:eastAsia="仿宋_GB2312"/>
        </w:rPr>
        <w:t>7</w:t>
      </w:r>
      <w:r>
        <w:rPr>
          <w:rFonts w:hint="eastAsia"/>
        </w:rPr>
        <w:t>个老旧小区和</w:t>
      </w:r>
      <w:r>
        <w:rPr>
          <w:rFonts w:hint="eastAsia" w:ascii="Times New Roman" w:hAnsi="Times New Roman" w:eastAsia="仿宋_GB2312"/>
        </w:rPr>
        <w:t>2</w:t>
      </w:r>
      <w:r>
        <w:rPr>
          <w:rFonts w:hint="eastAsia"/>
        </w:rPr>
        <w:t>个城中村改造项目，建成</w:t>
      </w:r>
      <w:r>
        <w:rPr>
          <w:rFonts w:hint="eastAsia" w:ascii="Times New Roman" w:hAnsi="Times New Roman" w:eastAsia="仿宋_GB2312"/>
        </w:rPr>
        <w:t>3</w:t>
      </w:r>
      <w:r>
        <w:rPr>
          <w:rFonts w:hint="eastAsia"/>
        </w:rPr>
        <w:t>个完整社区</w:t>
      </w:r>
      <w:r>
        <w:rPr>
          <w:rFonts w:hint="eastAsia"/>
          <w:lang w:eastAsia="zh-CN"/>
        </w:rPr>
        <w:t>；</w:t>
      </w:r>
      <w:r>
        <w:rPr>
          <w:rFonts w:hint="eastAsia" w:ascii="Times New Roman" w:hAnsi="Times New Roman" w:eastAsia="仿宋_GB2312" w:cs="仿宋_GB2312"/>
          <w:color w:val="auto"/>
          <w:spacing w:val="0"/>
          <w:kern w:val="0"/>
          <w:sz w:val="32"/>
          <w:szCs w:val="32"/>
          <w:lang w:val="en-US" w:eastAsia="zh-CN" w:bidi="ar-SA"/>
        </w:rPr>
        <w:t>推进既有住宅加装电梯，新增停车泊位150个、充电桩40个以上，构建“15分钟便民生活圈”。深化海绵城市建设，完成中心城区排水防涝提标工程，新改建雨水管网10公里，加快府邸花园等327个小区燃气管网改造。</w:t>
      </w:r>
      <w:r>
        <w:rPr>
          <w:rFonts w:hint="eastAsia" w:ascii="Times New Roman" w:hAnsi="Times New Roman" w:eastAsia="仿宋_GB2312" w:cs="仿宋_GB2312"/>
          <w:b/>
          <w:bCs/>
          <w:color w:val="auto"/>
          <w:spacing w:val="0"/>
          <w:kern w:val="0"/>
          <w:sz w:val="32"/>
          <w:szCs w:val="32"/>
          <w:lang w:val="en-US" w:eastAsia="zh-CN" w:bidi="ar-SA"/>
        </w:rPr>
        <w:t>深化城市精细智慧治理。</w:t>
      </w:r>
      <w:r>
        <w:rPr>
          <w:rFonts w:hint="eastAsia" w:ascii="Times New Roman" w:hAnsi="Times New Roman" w:eastAsia="仿宋_GB2312" w:cs="仿宋_GB2312"/>
          <w:color w:val="auto"/>
          <w:spacing w:val="0"/>
          <w:kern w:val="0"/>
          <w:sz w:val="32"/>
          <w:szCs w:val="32"/>
          <w:lang w:val="en-US" w:eastAsia="zh-CN" w:bidi="ar-SA"/>
        </w:rPr>
        <w:t>深入开展市容环境“六大行动”，推进“U型空间”治理。全面推行柔性执法，科学设置“潮汐摊区”。扩大物业服务覆盖，消除“三无”小区。加快市政基础设施智能化改造，提升城市“一网统管”水平。</w:t>
      </w:r>
    </w:p>
    <w:p w14:paraId="300EB10D">
      <w:pPr>
        <w:keepNext w:val="0"/>
        <w:keepLines w:val="0"/>
        <w:pageBreakBefore w:val="0"/>
        <w:widowControl w:val="0"/>
        <w:kinsoku/>
        <w:wordWrap/>
        <w:overflowPunct/>
        <w:topLinePunct w:val="0"/>
        <w:autoSpaceDE/>
        <w:autoSpaceDN/>
        <w:bidi w:val="0"/>
        <w:snapToGrid/>
        <w:spacing w:line="540" w:lineRule="exact"/>
        <w:ind w:leftChars="0" w:firstLine="643" w:firstLineChars="200"/>
        <w:jc w:val="both"/>
        <w:textAlignment w:val="auto"/>
        <w:rPr>
          <w:rFonts w:hint="eastAsia" w:ascii="Times New Roman" w:hAnsi="Times New Roman" w:eastAsia="仿宋_GB2312" w:cs="仿宋_GB2312"/>
          <w:color w:val="auto"/>
          <w:spacing w:val="0"/>
          <w:kern w:val="0"/>
          <w:sz w:val="32"/>
          <w:szCs w:val="32"/>
          <w:lang w:val="en-US" w:eastAsia="zh-CN" w:bidi="ar-SA"/>
        </w:rPr>
      </w:pPr>
      <w:r>
        <w:rPr>
          <w:rStyle w:val="12"/>
          <w:rFonts w:hint="default" w:ascii="Times New Roman" w:hAnsi="Times New Roman"/>
          <w:sz w:val="32"/>
          <w:szCs w:val="32"/>
          <w:lang w:val="en-US" w:eastAsia="zh-CN"/>
        </w:rPr>
        <w:t>（四）聚焦兴产业美乡村，加快农业农村现代化。</w:t>
      </w:r>
      <w:r>
        <w:rPr>
          <w:rFonts w:hint="eastAsia" w:ascii="Times New Roman" w:hAnsi="Times New Roman" w:eastAsia="仿宋_GB2312" w:cs="仿宋_GB2312"/>
          <w:b/>
          <w:bCs/>
          <w:color w:val="auto"/>
          <w:spacing w:val="0"/>
          <w:kern w:val="0"/>
          <w:sz w:val="32"/>
          <w:szCs w:val="32"/>
          <w:lang w:val="en-US" w:eastAsia="zh-CN" w:bidi="ar-SA"/>
        </w:rPr>
        <w:t>坚决守牢耕地红线。</w:t>
      </w:r>
      <w:r>
        <w:rPr>
          <w:rFonts w:hint="eastAsia" w:ascii="Times New Roman" w:hAnsi="Times New Roman" w:eastAsia="仿宋_GB2312" w:cs="仿宋_GB2312"/>
          <w:color w:val="auto"/>
          <w:spacing w:val="0"/>
          <w:kern w:val="0"/>
          <w:sz w:val="32"/>
          <w:szCs w:val="32"/>
          <w:lang w:val="en-US" w:eastAsia="zh-CN" w:bidi="ar-SA"/>
        </w:rPr>
        <w:t>严格落实耕地保护和粮食安全党政同责，</w:t>
      </w:r>
      <w:r>
        <w:rPr>
          <w:rFonts w:hint="eastAsia" w:ascii="仿宋_GB2312" w:hAnsi="仿宋_GB2312" w:eastAsia="仿宋_GB2312" w:cs="仿宋_GB2312"/>
          <w:color w:val="auto"/>
          <w:sz w:val="32"/>
          <w:szCs w:val="32"/>
          <w:lang w:val="en-US" w:eastAsia="zh-CN"/>
        </w:rPr>
        <w:t>加强优势特色农业产业集群建设，优质水稻主导品种稳定在</w:t>
      </w:r>
      <w:r>
        <w:rPr>
          <w:rFonts w:hint="eastAsia" w:ascii="Times New Roman" w:hAnsi="Times New Roman" w:eastAsia="仿宋_GB2312" w:cs="仿宋_GB2312"/>
          <w:color w:val="auto"/>
          <w:sz w:val="32"/>
          <w:szCs w:val="32"/>
          <w:lang w:val="en-US" w:eastAsia="zh-CN"/>
        </w:rPr>
        <w:t>10</w:t>
      </w:r>
      <w:r>
        <w:rPr>
          <w:rFonts w:hint="eastAsia" w:ascii="仿宋_GB2312" w:hAnsi="仿宋_GB2312" w:eastAsia="仿宋_GB2312" w:cs="仿宋_GB2312"/>
          <w:color w:val="auto"/>
          <w:sz w:val="32"/>
          <w:szCs w:val="32"/>
          <w:lang w:val="en-US" w:eastAsia="zh-CN"/>
        </w:rPr>
        <w:t>万亩以上，弱筋小麦面积稳定在</w:t>
      </w:r>
      <w:r>
        <w:rPr>
          <w:rFonts w:hint="eastAsia" w:ascii="Times New Roman" w:hAnsi="Times New Roman" w:eastAsia="仿宋_GB2312" w:cs="仿宋_GB2312"/>
          <w:color w:val="auto"/>
          <w:sz w:val="32"/>
          <w:szCs w:val="32"/>
          <w:lang w:val="en-US" w:eastAsia="zh-CN"/>
        </w:rPr>
        <w:t>20</w:t>
      </w:r>
      <w:r>
        <w:rPr>
          <w:rFonts w:hint="eastAsia" w:ascii="仿宋_GB2312" w:hAnsi="仿宋_GB2312" w:eastAsia="仿宋_GB2312" w:cs="仿宋_GB2312"/>
          <w:color w:val="auto"/>
          <w:sz w:val="32"/>
          <w:szCs w:val="32"/>
          <w:lang w:val="en-US" w:eastAsia="zh-CN"/>
        </w:rPr>
        <w:t>万亩以上，设施蔬菜稳定在</w:t>
      </w:r>
      <w:r>
        <w:rPr>
          <w:rFonts w:hint="eastAsia" w:ascii="Times New Roman" w:hAnsi="Times New Roman" w:eastAsia="仿宋_GB2312" w:cs="仿宋_GB2312"/>
          <w:color w:val="auto"/>
          <w:sz w:val="32"/>
          <w:szCs w:val="32"/>
          <w:lang w:val="en-US" w:eastAsia="zh-CN"/>
        </w:rPr>
        <w:t>5</w:t>
      </w:r>
      <w:r>
        <w:rPr>
          <w:rFonts w:hint="eastAsia" w:ascii="仿宋_GB2312" w:hAnsi="仿宋_GB2312" w:eastAsia="仿宋_GB2312" w:cs="仿宋_GB2312"/>
          <w:color w:val="auto"/>
          <w:sz w:val="32"/>
          <w:szCs w:val="32"/>
          <w:lang w:val="en-US" w:eastAsia="zh-CN"/>
        </w:rPr>
        <w:t>万亩</w:t>
      </w:r>
      <w:r>
        <w:rPr>
          <w:rFonts w:hint="eastAsia" w:ascii="仿宋_GB2312" w:hAnsi="仿宋_GB2312" w:cs="仿宋_GB2312"/>
          <w:color w:val="auto"/>
          <w:sz w:val="32"/>
          <w:szCs w:val="32"/>
          <w:lang w:val="en-US" w:eastAsia="zh-CN"/>
        </w:rPr>
        <w:t>，</w:t>
      </w:r>
      <w:r>
        <w:rPr>
          <w:rFonts w:hint="eastAsia" w:ascii="Times New Roman" w:hAnsi="Times New Roman" w:eastAsia="仿宋_GB2312" w:cs="仿宋_GB2312"/>
          <w:color w:val="auto"/>
          <w:spacing w:val="0"/>
          <w:kern w:val="0"/>
          <w:sz w:val="32"/>
          <w:szCs w:val="32"/>
          <w:lang w:val="en-US" w:eastAsia="zh-CN" w:bidi="ar-SA"/>
        </w:rPr>
        <w:t>强化种业创新与单产提升。加快出山店水库灌区项目建设，积极推进西大岗灌区项目前期工作，持续巩固拓展脱贫攻坚成果，强化产业就业帮扶，守牢不发生规模性返贫底线。</w:t>
      </w:r>
      <w:r>
        <w:rPr>
          <w:rFonts w:hint="eastAsia" w:ascii="Times New Roman" w:hAnsi="Times New Roman" w:eastAsia="仿宋_GB2312" w:cs="仿宋_GB2312"/>
          <w:b/>
          <w:bCs/>
          <w:color w:val="auto"/>
          <w:spacing w:val="0"/>
          <w:kern w:val="0"/>
          <w:sz w:val="32"/>
          <w:szCs w:val="32"/>
          <w:lang w:val="en-US" w:eastAsia="zh-CN" w:bidi="ar-SA"/>
        </w:rPr>
        <w:t>大力发展现代农业</w:t>
      </w:r>
      <w:r>
        <w:rPr>
          <w:rFonts w:hint="eastAsia" w:ascii="Times New Roman" w:hAnsi="Times New Roman" w:eastAsia="仿宋_GB2312" w:cs="仿宋_GB2312"/>
          <w:color w:val="auto"/>
          <w:spacing w:val="0"/>
          <w:kern w:val="0"/>
          <w:sz w:val="32"/>
          <w:szCs w:val="32"/>
          <w:lang w:val="en-US" w:eastAsia="zh-CN" w:bidi="ar-SA"/>
        </w:rPr>
        <w:t>。聚焦“土特产”文章，补齐精深加工、冷链物流、品牌营销等短板，构建全产业链体系。大力推广“寿光模式”，建设高标准现代农业产业园。深入实施品牌强农战略，推动“平桥香米”“平桥北艾”等品牌做大做强，力争“品牌农业”产业链群规上企业营收突破10亿元。</w:t>
      </w:r>
      <w:r>
        <w:rPr>
          <w:rFonts w:hint="eastAsia" w:ascii="Times New Roman" w:hAnsi="Times New Roman" w:eastAsia="仿宋_GB2312" w:cs="仿宋_GB2312"/>
          <w:b/>
          <w:bCs/>
          <w:color w:val="auto"/>
          <w:spacing w:val="0"/>
          <w:kern w:val="0"/>
          <w:sz w:val="32"/>
          <w:szCs w:val="32"/>
          <w:lang w:val="en-US" w:eastAsia="zh-CN" w:bidi="ar-SA"/>
        </w:rPr>
        <w:t>加快建设宜居宜业和美乡村。</w:t>
      </w:r>
      <w:r>
        <w:rPr>
          <w:rFonts w:hint="eastAsia" w:ascii="Times New Roman" w:hAnsi="Times New Roman" w:eastAsia="仿宋_GB2312" w:cs="仿宋_GB2312"/>
          <w:color w:val="auto"/>
          <w:spacing w:val="0"/>
          <w:kern w:val="0"/>
          <w:sz w:val="32"/>
          <w:szCs w:val="32"/>
          <w:lang w:val="en-US" w:eastAsia="zh-CN" w:bidi="ar-SA"/>
        </w:rPr>
        <w:t>坚持片区化、组团式推进乡村建设，争创省级宜居宜业和美乡村建设先导区。深化农村人居环境整治，基本消除较大面积黑臭水体。统筹推进农村水、电、路、气、信等基础设施提档升级。大力培育文明乡风，持续推进移风易俗。</w:t>
      </w:r>
    </w:p>
    <w:p w14:paraId="73AAC84E">
      <w:pPr>
        <w:keepNext w:val="0"/>
        <w:keepLines w:val="0"/>
        <w:pageBreakBefore w:val="0"/>
        <w:widowControl w:val="0"/>
        <w:kinsoku/>
        <w:wordWrap/>
        <w:overflowPunct/>
        <w:topLinePunct w:val="0"/>
        <w:autoSpaceDE/>
        <w:autoSpaceDN/>
        <w:bidi w:val="0"/>
        <w:snapToGrid/>
        <w:spacing w:line="540" w:lineRule="exact"/>
        <w:ind w:leftChars="0" w:firstLine="643" w:firstLineChars="200"/>
        <w:jc w:val="both"/>
        <w:textAlignment w:val="auto"/>
        <w:rPr>
          <w:rFonts w:hint="eastAsia" w:ascii="Times New Roman" w:hAnsi="Times New Roman" w:eastAsia="仿宋_GB2312" w:cs="仿宋_GB2312"/>
          <w:b w:val="0"/>
          <w:bCs w:val="0"/>
          <w:color w:val="auto"/>
          <w:spacing w:val="0"/>
          <w:kern w:val="0"/>
          <w:sz w:val="32"/>
          <w:szCs w:val="32"/>
          <w:lang w:val="en-US" w:eastAsia="zh-CN" w:bidi="ar-SA"/>
        </w:rPr>
      </w:pPr>
      <w:r>
        <w:rPr>
          <w:rStyle w:val="12"/>
          <w:rFonts w:hint="default" w:ascii="Times New Roman" w:hAnsi="Times New Roman"/>
          <w:sz w:val="32"/>
          <w:szCs w:val="32"/>
          <w:lang w:val="en-US" w:eastAsia="zh-CN"/>
        </w:rPr>
        <w:t>（五）聚焦惠民生增福祉，提升人民生活品质。</w:t>
      </w:r>
      <w:r>
        <w:rPr>
          <w:rFonts w:hint="eastAsia" w:ascii="Times New Roman" w:hAnsi="Times New Roman" w:eastAsia="仿宋_GB2312" w:cs="仿宋_GB2312"/>
          <w:b/>
          <w:bCs/>
          <w:color w:val="auto"/>
          <w:spacing w:val="0"/>
          <w:kern w:val="0"/>
          <w:sz w:val="32"/>
          <w:szCs w:val="32"/>
          <w:lang w:val="en-US" w:eastAsia="zh-CN" w:bidi="ar-SA"/>
        </w:rPr>
        <w:t>促进高质量充分就业。</w:t>
      </w:r>
      <w:r>
        <w:rPr>
          <w:rFonts w:hint="eastAsia" w:ascii="Times New Roman" w:hAnsi="Times New Roman" w:eastAsia="仿宋_GB2312" w:cs="仿宋_GB2312"/>
          <w:color w:val="auto"/>
          <w:spacing w:val="0"/>
          <w:kern w:val="0"/>
          <w:sz w:val="32"/>
          <w:szCs w:val="32"/>
          <w:lang w:val="en-US" w:eastAsia="zh-CN" w:bidi="ar-SA"/>
        </w:rPr>
        <w:t>坚持就业优先战略，聚焦高校毕业生、退役军人、农民工、城镇困难人员等重点群体，健全“技能培训+岗位推介+政策扶持”一体化服务体系。依托“职在信阳”智慧就业平台，推动人岗精准匹配。深化校企合作，支持职业院校和技工学校对接产业发展需求。优化创业环境，降低担保贷款门槛，加强创业指导与服务，支持新就业形态发展，确保城镇新增就业、失业人员再就业等年度目标超额完成。</w:t>
      </w:r>
      <w:r>
        <w:rPr>
          <w:rFonts w:hint="eastAsia" w:ascii="Times New Roman" w:hAnsi="Times New Roman" w:eastAsia="仿宋_GB2312" w:cs="仿宋_GB2312"/>
          <w:b/>
          <w:bCs/>
          <w:color w:val="auto"/>
          <w:spacing w:val="0"/>
          <w:kern w:val="0"/>
          <w:sz w:val="32"/>
          <w:szCs w:val="32"/>
          <w:lang w:val="en-US" w:eastAsia="zh-CN" w:bidi="ar-SA"/>
        </w:rPr>
        <w:t>推动教育资源扩优提质。</w:t>
      </w:r>
      <w:r>
        <w:rPr>
          <w:rFonts w:hint="eastAsia" w:ascii="Times New Roman" w:hAnsi="Times New Roman" w:eastAsia="仿宋_GB2312" w:cs="仿宋_GB2312"/>
          <w:b w:val="0"/>
          <w:bCs w:val="0"/>
          <w:color w:val="auto"/>
          <w:spacing w:val="0"/>
          <w:kern w:val="0"/>
          <w:sz w:val="32"/>
          <w:szCs w:val="32"/>
          <w:lang w:val="en-US" w:eastAsia="zh-CN" w:bidi="ar-SA"/>
        </w:rPr>
        <w:t>扩大普惠性学前教育资源，稳步增加公办园学位供给，</w:t>
      </w:r>
      <w:r>
        <w:rPr>
          <w:rFonts w:hint="eastAsia"/>
        </w:rPr>
        <w:t>确保学前教育公办学位占比达</w:t>
      </w:r>
      <w:r>
        <w:rPr>
          <w:rFonts w:hint="eastAsia" w:ascii="Times New Roman" w:hAnsi="Times New Roman" w:eastAsia="仿宋_GB2312"/>
        </w:rPr>
        <w:t>50</w:t>
      </w:r>
      <w:r>
        <w:rPr>
          <w:rFonts w:hint="eastAsia"/>
        </w:rPr>
        <w:t>%以上。</w:t>
      </w:r>
      <w:r>
        <w:rPr>
          <w:rFonts w:hint="eastAsia" w:ascii="Times New Roman" w:hAnsi="Times New Roman" w:eastAsia="仿宋_GB2312" w:cs="仿宋_GB2312"/>
          <w:b w:val="0"/>
          <w:bCs w:val="0"/>
          <w:color w:val="auto"/>
          <w:spacing w:val="0"/>
          <w:kern w:val="0"/>
          <w:sz w:val="32"/>
          <w:szCs w:val="32"/>
          <w:lang w:val="en-US" w:eastAsia="zh-CN" w:bidi="ar-SA"/>
        </w:rPr>
        <w:t>促进义务教育优质均衡和城乡一体化，改善办学条件。加快职业教育创新发展高地建设，深化产教融合、校企合作，积极引进优质高职院校资源，着力打造雷山匠谷职业教育品牌。持续做好空军招飞工作，巩固提升招飞工作领先优势。深化教育教学改革，加强师资队伍建设，全面提升育人质量。</w:t>
      </w:r>
      <w:r>
        <w:rPr>
          <w:rFonts w:hint="eastAsia" w:ascii="Times New Roman" w:hAnsi="Times New Roman" w:eastAsia="仿宋_GB2312" w:cs="仿宋_GB2312"/>
          <w:b/>
          <w:bCs/>
          <w:color w:val="auto"/>
          <w:spacing w:val="0"/>
          <w:kern w:val="0"/>
          <w:sz w:val="32"/>
          <w:szCs w:val="32"/>
          <w:lang w:val="en-US" w:eastAsia="zh-CN" w:bidi="ar-SA"/>
        </w:rPr>
        <w:t>推进健康平桥建设。</w:t>
      </w:r>
      <w:r>
        <w:rPr>
          <w:rFonts w:hint="eastAsia" w:ascii="Times New Roman" w:hAnsi="Times New Roman" w:eastAsia="仿宋_GB2312" w:cs="仿宋_GB2312"/>
          <w:b w:val="0"/>
          <w:bCs w:val="0"/>
          <w:color w:val="auto"/>
          <w:spacing w:val="0"/>
          <w:kern w:val="0"/>
          <w:sz w:val="32"/>
          <w:szCs w:val="32"/>
          <w:lang w:val="en-US" w:eastAsia="zh-CN" w:bidi="ar-SA"/>
        </w:rPr>
        <w:t>完善“一老一小”健康服务体系，加快推进区托育综合服务中心建设，鼓励发展多元托育服务模式。推动乡镇敬老院转型为区域性医养结合服务中心，新建一批村级标准化养老服务站，拓展居家和社区养老服务功能。持续优化医疗资源布局，完成市第四人民医院感染病区改造提升工程，推动区中医院与信钢医院实现资源整合、协同发展。强化基层医疗卫生机构服务能力，完善分级诊疗体系，让群众享有更便捷、更优质的医疗卫生服务。</w:t>
      </w:r>
      <w:r>
        <w:rPr>
          <w:rFonts w:hint="eastAsia" w:ascii="Times New Roman" w:hAnsi="Times New Roman" w:eastAsia="仿宋_GB2312" w:cs="仿宋_GB2312"/>
          <w:b/>
          <w:bCs/>
          <w:color w:val="auto"/>
          <w:spacing w:val="0"/>
          <w:kern w:val="0"/>
          <w:sz w:val="32"/>
          <w:szCs w:val="32"/>
          <w:lang w:val="en-US" w:eastAsia="zh-CN" w:bidi="ar-SA"/>
        </w:rPr>
        <w:t>健全多层次社会保障。</w:t>
      </w:r>
      <w:r>
        <w:rPr>
          <w:rFonts w:hint="eastAsia" w:ascii="Times New Roman" w:hAnsi="Times New Roman" w:eastAsia="仿宋_GB2312" w:cs="仿宋_GB2312"/>
          <w:b w:val="0"/>
          <w:bCs w:val="0"/>
          <w:color w:val="auto"/>
          <w:spacing w:val="0"/>
          <w:kern w:val="0"/>
          <w:sz w:val="32"/>
          <w:szCs w:val="32"/>
          <w:lang w:val="en-US" w:eastAsia="zh-CN" w:bidi="ar-SA"/>
        </w:rPr>
        <w:t>加强低收入人口动态监测和常态化救助帮扶，稳步提高最低生活保障、特困人员救助供养标准，确保困难群众基本养老保险和基本医疗保险参保率稳定在100%。完善社会保险制度衔接，畅通城乡居保与职工养老保险之间的转移接续渠道。健全儿童福利保障和残疾人关爱服务体系，落实孤儿和事实无人抚养儿童基本生活保障、教育资助、医疗康复等政策，适度提高困难残疾人生活补贴和护理补贴标准，实施残疾儿童康复救助项目，切实兜住、兜准、兜牢基本民生底线。</w:t>
      </w:r>
    </w:p>
    <w:p w14:paraId="78BF5D2F">
      <w:pPr>
        <w:keepNext w:val="0"/>
        <w:keepLines w:val="0"/>
        <w:pageBreakBefore w:val="0"/>
        <w:widowControl w:val="0"/>
        <w:kinsoku/>
        <w:wordWrap/>
        <w:overflowPunct/>
        <w:topLinePunct w:val="0"/>
        <w:autoSpaceDE/>
        <w:autoSpaceDN/>
        <w:bidi w:val="0"/>
        <w:snapToGrid/>
        <w:spacing w:line="540" w:lineRule="exact"/>
        <w:ind w:leftChars="0" w:firstLine="643" w:firstLineChars="200"/>
        <w:jc w:val="both"/>
        <w:textAlignment w:val="auto"/>
      </w:pPr>
      <w:r>
        <w:rPr>
          <w:rStyle w:val="12"/>
          <w:rFonts w:hint="default" w:ascii="Times New Roman" w:hAnsi="Times New Roman"/>
          <w:sz w:val="32"/>
          <w:szCs w:val="32"/>
          <w:lang w:val="en-US" w:eastAsia="zh-CN"/>
        </w:rPr>
        <w:t>（六）聚焦防风险保稳定，筑牢安全发展屏障。</w:t>
      </w:r>
      <w:r>
        <w:rPr>
          <w:rFonts w:hint="eastAsia" w:ascii="Times New Roman" w:hAnsi="Times New Roman" w:eastAsia="仿宋_GB2312" w:cs="仿宋_GB2312"/>
          <w:b/>
          <w:bCs/>
          <w:color w:val="auto"/>
          <w:spacing w:val="0"/>
          <w:kern w:val="0"/>
          <w:sz w:val="32"/>
          <w:szCs w:val="32"/>
          <w:lang w:val="en-US" w:eastAsia="zh-CN" w:bidi="ar-SA"/>
        </w:rPr>
        <w:t>加强生态环境保护。</w:t>
      </w:r>
      <w:r>
        <w:rPr>
          <w:rFonts w:hint="eastAsia" w:ascii="Times New Roman" w:hAnsi="Times New Roman" w:eastAsia="仿宋_GB2312" w:cs="仿宋_GB2312"/>
          <w:b w:val="0"/>
          <w:bCs w:val="0"/>
          <w:color w:val="auto"/>
          <w:spacing w:val="0"/>
          <w:kern w:val="0"/>
          <w:sz w:val="32"/>
          <w:szCs w:val="32"/>
          <w:lang w:val="en-US" w:eastAsia="zh-CN" w:bidi="ar-SA"/>
        </w:rPr>
        <w:t>深入打好蓝天、碧水、净土保卫战，巩固空气质量二级达标成果，抓好重点污染治理。加强浉河、淮河等重点断面水质监测与入河排污口整治，保障饮用水水源地安全，确保地表水水质“保Ⅲ争Ⅱ”。强化新污村污水处理设施稳定运行，确保土壤安全利用率100%。</w:t>
      </w:r>
      <w:r>
        <w:rPr>
          <w:rFonts w:hint="eastAsia" w:ascii="Times New Roman" w:hAnsi="Times New Roman" w:eastAsia="仿宋_GB2312" w:cs="仿宋_GB2312"/>
          <w:b/>
          <w:bCs/>
          <w:color w:val="auto"/>
          <w:spacing w:val="0"/>
          <w:kern w:val="0"/>
          <w:sz w:val="32"/>
          <w:szCs w:val="32"/>
          <w:lang w:val="en-US" w:eastAsia="zh-CN" w:bidi="ar-SA"/>
        </w:rPr>
        <w:t>守牢安全生产红线。</w:t>
      </w:r>
      <w:r>
        <w:rPr>
          <w:rFonts w:hint="eastAsia" w:ascii="Times New Roman" w:hAnsi="Times New Roman" w:eastAsia="仿宋_GB2312" w:cs="仿宋_GB2312"/>
          <w:b w:val="0"/>
          <w:bCs w:val="0"/>
          <w:color w:val="auto"/>
          <w:spacing w:val="0"/>
          <w:kern w:val="0"/>
          <w:sz w:val="32"/>
          <w:szCs w:val="32"/>
          <w:lang w:val="en-US" w:eastAsia="zh-CN" w:bidi="ar-SA"/>
        </w:rPr>
        <w:t>深入开展重点行业领域安全生产风险专项整治，紧盯城镇燃气、消防、道路交通、建筑施工、危险化学品、工贸企业等重点部位，建立常态化隐患排查与动态清零机制。健全应急指挥体系和协同联动机制，强化监测预警、物资储备和救援力量建设，切实提升防灾减灾救灾与突发事件应急处置能力。严格落实食品药品安全“四个最严”要求，完善从生产源头到消费终端的全链条、全过程监管体系，守护人民群众“舌尖上的安全”。</w:t>
      </w:r>
      <w:r>
        <w:rPr>
          <w:rFonts w:hint="eastAsia" w:ascii="Times New Roman" w:hAnsi="Times New Roman" w:eastAsia="仿宋_GB2312" w:cs="仿宋_GB2312"/>
          <w:b/>
          <w:bCs/>
          <w:color w:val="auto"/>
          <w:spacing w:val="0"/>
          <w:kern w:val="0"/>
          <w:sz w:val="32"/>
          <w:szCs w:val="32"/>
          <w:lang w:val="en-US" w:eastAsia="zh-CN" w:bidi="ar-SA"/>
        </w:rPr>
        <w:t>有效防范化解重点领域风险。</w:t>
      </w:r>
      <w:r>
        <w:rPr>
          <w:rFonts w:hint="eastAsia" w:ascii="Times New Roman" w:hAnsi="Times New Roman" w:eastAsia="仿宋_GB2312" w:cs="仿宋_GB2312"/>
          <w:b w:val="0"/>
          <w:bCs w:val="0"/>
          <w:color w:val="auto"/>
          <w:spacing w:val="0"/>
          <w:kern w:val="0"/>
          <w:sz w:val="32"/>
          <w:szCs w:val="32"/>
          <w:lang w:val="en-US" w:eastAsia="zh-CN" w:bidi="ar-SA"/>
        </w:rPr>
        <w:t>稳妥有序化解地方政府债务风险，刚性落实“631”偿债机制，用足用好国家政策支持，拓宽化债渠道，坚决遏制增量、化解存量。加强金融风险监测预警和早期干预，牢牢守住不发生系统性风险的底线。持续推动房地产领域风险化解，扎实做好“保交楼、保民生、保稳定”工作，促进房地产市场平稳健康发展。坚持党政机关过紧日子，严肃财经纪律，全力兜牢“三保”支出底线，确保财政运行安全可持续。</w:t>
      </w:r>
      <w:r>
        <w:rPr>
          <w:rFonts w:hint="eastAsia" w:ascii="Times New Roman" w:hAnsi="Times New Roman" w:eastAsia="仿宋_GB2312" w:cs="仿宋_GB2312"/>
          <w:b/>
          <w:bCs/>
          <w:color w:val="auto"/>
          <w:spacing w:val="0"/>
          <w:kern w:val="0"/>
          <w:sz w:val="32"/>
          <w:szCs w:val="32"/>
          <w:lang w:val="en-US" w:eastAsia="zh-CN" w:bidi="ar-SA"/>
        </w:rPr>
        <w:t>提升社会治理现代化水平。</w:t>
      </w:r>
      <w:r>
        <w:rPr>
          <w:rFonts w:hint="eastAsia" w:ascii="Times New Roman" w:hAnsi="Times New Roman" w:eastAsia="仿宋_GB2312" w:cs="仿宋_GB2312"/>
          <w:b w:val="0"/>
          <w:bCs w:val="0"/>
          <w:color w:val="auto"/>
          <w:spacing w:val="0"/>
          <w:kern w:val="0"/>
          <w:sz w:val="32"/>
          <w:szCs w:val="32"/>
          <w:lang w:val="en-US" w:eastAsia="zh-CN" w:bidi="ar-SA"/>
        </w:rPr>
        <w:t>坚持和发展新时代“枫桥经验”，完善社会矛盾纠纷预防化解机制，推进信访工作法治化。深化区、乡、村三级综治中心规范化建设与实战化运行，健全网格化管理、精细化服务、信息化支撑的基层治理平台。常态化开展扫黑除恶斗争，依法严厉打击电信网络诈骗、非法集资等突出违法犯罪活动，强化社会治安整体防控。加强未成年人保护与犯罪预防，深入排查化解各类社会矛盾风险，全力维护社会大局和谐稳定，建设更高水平的平安平桥。</w:t>
      </w:r>
    </w:p>
    <w:sectPr>
      <w:footerReference r:id="rId3" w:type="default"/>
      <w:pgSz w:w="11906" w:h="16838"/>
      <w:pgMar w:top="1701" w:right="1587" w:bottom="1587" w:left="1587" w:header="851" w:footer="1247" w:gutter="0"/>
      <w:pgNumType w:fmt="numberInDash"/>
      <w:cols w:space="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00000001" w:usb1="08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58D290">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8F6320">
                          <w:pPr>
                            <w:pStyle w:val="5"/>
                            <w:keepNext w:val="0"/>
                            <w:keepLines w:val="0"/>
                            <w:pageBreakBefore w:val="0"/>
                            <w:widowControl w:val="0"/>
                            <w:kinsoku/>
                            <w:wordWrap/>
                            <w:overflowPunct/>
                            <w:topLinePunct w:val="0"/>
                            <w:bidi w:val="0"/>
                            <w:adjustRightInd/>
                            <w:snapToGrid w:val="0"/>
                            <w:spacing w:line="240" w:lineRule="exact"/>
                            <w:ind w:left="160" w:leftChars="50" w:right="160" w:rightChars="50"/>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5A8F6320">
                    <w:pPr>
                      <w:pStyle w:val="5"/>
                      <w:keepNext w:val="0"/>
                      <w:keepLines w:val="0"/>
                      <w:pageBreakBefore w:val="0"/>
                      <w:widowControl w:val="0"/>
                      <w:kinsoku/>
                      <w:wordWrap/>
                      <w:overflowPunct/>
                      <w:topLinePunct w:val="0"/>
                      <w:bidi w:val="0"/>
                      <w:adjustRightInd/>
                      <w:snapToGrid w:val="0"/>
                      <w:spacing w:line="240" w:lineRule="exact"/>
                      <w:ind w:left="160" w:leftChars="50" w:right="160" w:rightChars="50"/>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A02005C"/>
    <w:rsid w:val="15115ACC"/>
    <w:rsid w:val="1FDD3660"/>
    <w:rsid w:val="2C6D614E"/>
    <w:rsid w:val="347E5715"/>
    <w:rsid w:val="41842500"/>
    <w:rsid w:val="44F26212"/>
    <w:rsid w:val="46DF4B55"/>
    <w:rsid w:val="5A02005C"/>
    <w:rsid w:val="5DE83E9E"/>
    <w:rsid w:val="6A3B6DD7"/>
    <w:rsid w:val="6AA11FFE"/>
    <w:rsid w:val="6DEB6993"/>
    <w:rsid w:val="70BD73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仿宋_GB2312"/>
      <w:kern w:val="0"/>
      <w:sz w:val="32"/>
      <w:szCs w:val="32"/>
      <w:lang w:val="en-US" w:eastAsia="zh-CN" w:bidi="ar-SA"/>
    </w:rPr>
  </w:style>
  <w:style w:type="paragraph" w:styleId="2">
    <w:name w:val="heading 1"/>
    <w:basedOn w:val="1"/>
    <w:next w:val="1"/>
    <w:qFormat/>
    <w:uiPriority w:val="0"/>
    <w:pPr>
      <w:keepNext/>
      <w:keepLines/>
      <w:spacing w:beforeLines="0" w:beforeAutospacing="0" w:afterLines="0" w:afterAutospacing="0" w:line="560" w:lineRule="exact"/>
      <w:ind w:firstLine="0" w:firstLineChars="0"/>
      <w:jc w:val="center"/>
      <w:outlineLvl w:val="0"/>
    </w:pPr>
    <w:rPr>
      <w:rFonts w:ascii="方正小标宋简体" w:hAnsi="方正小标宋简体" w:eastAsia="方正小标宋简体" w:cs="方正小标宋简体"/>
      <w:kern w:val="44"/>
      <w:sz w:val="44"/>
      <w:szCs w:val="44"/>
    </w:rPr>
  </w:style>
  <w:style w:type="paragraph" w:styleId="3">
    <w:name w:val="heading 2"/>
    <w:basedOn w:val="1"/>
    <w:next w:val="1"/>
    <w:semiHidden/>
    <w:unhideWhenUsed/>
    <w:qFormat/>
    <w:uiPriority w:val="0"/>
    <w:pPr>
      <w:keepNext/>
      <w:keepLines/>
      <w:spacing w:beforeLines="0" w:beforeAutospacing="0" w:afterLines="0" w:afterAutospacing="0" w:line="560" w:lineRule="exact"/>
      <w:outlineLvl w:val="1"/>
    </w:pPr>
    <w:rPr>
      <w:rFonts w:ascii="黑体" w:hAnsi="黑体" w:eastAsia="黑体" w:cs="黑体"/>
    </w:rPr>
  </w:style>
  <w:style w:type="paragraph" w:styleId="4">
    <w:name w:val="heading 3"/>
    <w:basedOn w:val="1"/>
    <w:next w:val="1"/>
    <w:link w:val="10"/>
    <w:semiHidden/>
    <w:unhideWhenUsed/>
    <w:qFormat/>
    <w:uiPriority w:val="0"/>
    <w:pPr>
      <w:snapToGrid w:val="0"/>
      <w:spacing w:beforeAutospacing="1" w:after="0" w:afterAutospacing="0"/>
      <w:jc w:val="left"/>
      <w:outlineLvl w:val="2"/>
    </w:pPr>
    <w:rPr>
      <w:rFonts w:hint="eastAsia" w:ascii="楷体_GB2312" w:hAnsi="楷体_GB2312" w:eastAsia="楷体_GB2312" w:cs="楷体_GB2312"/>
      <w:b/>
      <w:bCs/>
      <w:kern w:val="0"/>
      <w:lang w:bidi="ar"/>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Body Text 2"/>
    <w:basedOn w:val="1"/>
    <w:qFormat/>
    <w:uiPriority w:val="0"/>
    <w:rPr>
      <w:rFonts w:ascii="Times New Roman" w:hAnsi="Times New Roman"/>
      <w:color w:val="0000FF"/>
    </w:rPr>
  </w:style>
  <w:style w:type="character" w:customStyle="1" w:styleId="10">
    <w:name w:val="标题 3 Char"/>
    <w:link w:val="4"/>
    <w:uiPriority w:val="0"/>
    <w:rPr>
      <w:rFonts w:ascii="楷体_GB2312" w:hAnsi="楷体_GB2312" w:eastAsia="楷体_GB2312" w:cs="楷体_GB2312"/>
      <w:b/>
    </w:rPr>
  </w:style>
  <w:style w:type="paragraph" w:customStyle="1" w:styleId="11">
    <w:name w:val="样式2"/>
    <w:basedOn w:val="1"/>
    <w:qFormat/>
    <w:uiPriority w:val="0"/>
    <w:pPr>
      <w:adjustRightInd w:val="0"/>
      <w:spacing w:line="560" w:lineRule="exact"/>
      <w:ind w:firstLine="640" w:firstLineChars="200"/>
    </w:pPr>
    <w:rPr>
      <w:rFonts w:hint="eastAsia" w:ascii="黑体" w:hAnsi="黑体" w:eastAsia="黑体" w:cs="黑体"/>
      <w:bCs/>
      <w:color w:val="auto"/>
    </w:rPr>
  </w:style>
  <w:style w:type="character" w:customStyle="1" w:styleId="12">
    <w:name w:val="样式3 Char"/>
    <w:link w:val="13"/>
    <w:qFormat/>
    <w:uiPriority w:val="0"/>
    <w:rPr>
      <w:rFonts w:ascii="Times New Roman" w:hAnsi="Times New Roman" w:eastAsia="楷体_GB2312" w:cs="Times New Roman"/>
      <w:b/>
      <w:bCs/>
      <w:color w:val="000000"/>
    </w:rPr>
  </w:style>
  <w:style w:type="paragraph" w:customStyle="1" w:styleId="13">
    <w:name w:val="样式3"/>
    <w:basedOn w:val="1"/>
    <w:link w:val="12"/>
    <w:qFormat/>
    <w:uiPriority w:val="0"/>
    <w:pPr>
      <w:spacing w:line="560" w:lineRule="exact"/>
      <w:ind w:firstLine="643" w:firstLineChars="200"/>
    </w:pPr>
    <w:rPr>
      <w:rFonts w:ascii="Times New Roman" w:hAnsi="Times New Roman" w:eastAsia="楷体_GB2312" w:cs="Times New Roman"/>
      <w:b/>
      <w:bCs/>
      <w:color w:val="000000"/>
    </w:rPr>
  </w:style>
  <w:style w:type="paragraph" w:customStyle="1" w:styleId="14">
    <w:name w:val="仿宋2312"/>
    <w:basedOn w:val="1"/>
    <w:qFormat/>
    <w:uiPriority w:val="0"/>
    <w:pPr>
      <w:spacing w:line="600" w:lineRule="exact"/>
      <w:ind w:firstLine="883" w:firstLineChars="200"/>
    </w:pPr>
    <w:rPr>
      <w:rFonts w:ascii="仿宋_GB2312" w:hAnsi="仿宋_GB2312" w:eastAsia="仿宋_GB2312" w:cs="Times New Roman"/>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2026-04-09T07:37:00Z</dcterms:created>
  <dc:creator>O2</dc:creator>
  <cp:lastModifiedBy>O2</cp:lastModifiedBy>
  <dcterms:modified xsi:type="dcterms:W3CDTF">2026-04-09T07:39:47Z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AC73D987C0EB4AC3976AC651F1B03EB8_11</vt:lpwstr>
  </property>
  <property fmtid="{D5CDD505-2E9C-101B-9397-08002B2CF9AE}" pid="4" name="KSOTemplateDocerSaveRecord">
    <vt:lpwstr>eyJoZGlkIjoiNTZiM2YzMDQxNzliNmVjZWQwMDVkYThlMGNjZTFhYjIiLCJ1c2VySWQiOiI0NDI3OTMxNTAifQ==</vt:lpwstr>
  </property>
</Properties>
</file>