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3AB68">
      <w:pPr>
        <w:spacing w:line="580" w:lineRule="exact"/>
        <w:contextualSpacing/>
        <w:jc w:val="center"/>
        <w:rPr>
          <w:rFonts w:hint="eastAsia"/>
          <w:lang w:val="en-US" w:eastAsia="zh-CN"/>
        </w:rPr>
      </w:pPr>
      <w:r>
        <w:rPr>
          <w:rFonts w:hint="eastAsia" w:ascii="方正小标宋简体" w:eastAsia="方正小标宋简体"/>
          <w:b w:val="0"/>
          <w:bCs w:val="0"/>
          <w:sz w:val="44"/>
          <w:szCs w:val="44"/>
          <w:lang w:val="en-US" w:eastAsia="zh-CN"/>
        </w:rPr>
        <w:t>信阳高新区智能制造产业园项目</w:t>
      </w:r>
    </w:p>
    <w:p w14:paraId="752A398C">
      <w:pPr>
        <w:keepNext w:val="0"/>
        <w:keepLines w:val="0"/>
        <w:pageBreakBefore w:val="0"/>
        <w:widowControl w:val="0"/>
        <w:kinsoku/>
        <w:wordWrap/>
        <w:overflowPunct/>
        <w:topLinePunct w:val="0"/>
        <w:autoSpaceDE/>
        <w:autoSpaceDN/>
        <w:bidi w:val="0"/>
        <w:spacing w:line="590" w:lineRule="exact"/>
        <w:ind w:firstLine="640" w:firstLineChars="200"/>
        <w:contextualSpacing/>
        <w:textAlignment w:val="auto"/>
        <w:rPr>
          <w:rFonts w:hint="eastAsia" w:ascii="黑体" w:hAnsi="黑体" w:eastAsia="黑体"/>
          <w:sz w:val="32"/>
          <w:szCs w:val="32"/>
          <w:lang w:val="en-US" w:eastAsia="zh-CN"/>
        </w:rPr>
      </w:pPr>
    </w:p>
    <w:p w14:paraId="4291C9A0">
      <w:pPr>
        <w:keepNext w:val="0"/>
        <w:keepLines w:val="0"/>
        <w:pageBreakBefore w:val="0"/>
        <w:widowControl w:val="0"/>
        <w:kinsoku/>
        <w:wordWrap/>
        <w:overflowPunct/>
        <w:topLinePunct w:val="0"/>
        <w:autoSpaceDE/>
        <w:autoSpaceDN/>
        <w:bidi w:val="0"/>
        <w:spacing w:line="590" w:lineRule="exact"/>
        <w:ind w:firstLine="640" w:firstLineChars="200"/>
        <w:contextualSpacing/>
        <w:textAlignment w:val="auto"/>
        <w:rPr>
          <w:rFonts w:hint="default" w:ascii="黑体" w:hAnsi="黑体" w:eastAsia="黑体"/>
          <w:sz w:val="32"/>
          <w:szCs w:val="32"/>
          <w:lang w:val="en-US" w:eastAsia="zh-CN"/>
        </w:rPr>
      </w:pPr>
      <w:r>
        <w:rPr>
          <w:rFonts w:hint="eastAsia" w:ascii="黑体" w:hAnsi="黑体" w:eastAsia="黑体"/>
          <w:sz w:val="32"/>
          <w:szCs w:val="32"/>
          <w:lang w:val="en-US" w:eastAsia="zh-CN"/>
        </w:rPr>
        <w:t>一、项目概况</w:t>
      </w:r>
    </w:p>
    <w:p w14:paraId="225AE6B3">
      <w:pPr>
        <w:pStyle w:val="6"/>
        <w:keepNext w:val="0"/>
        <w:keepLines w:val="0"/>
        <w:pageBreakBefore w:val="0"/>
        <w:widowControl w:val="0"/>
        <w:kinsoku/>
        <w:wordWrap/>
        <w:overflowPunct/>
        <w:topLinePunct w:val="0"/>
        <w:autoSpaceDE/>
        <w:autoSpaceDN/>
        <w:bidi w:val="0"/>
        <w:spacing w:line="590" w:lineRule="exact"/>
        <w:ind w:left="0" w:leftChars="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根据《关于对信阳高新区智能制造产业园项目可行性研究报告的批复》（信集聚区〔2022〕30号）文件精神，该项目获得立项审批，项目总投资50761万元，本项目规划总用地面积91126.47㎡(合136.69亩)，总建筑面积162335.12㎡，主要建设内容为生产厂房、办公及研发中心、宿舍楼、设备用房、门卫室、配套道路及硬化、绿地、停车位、机动车充电桩以及给排水、电力、通讯等配套基础设施。资金来源为专项债券资金30000万元、财政自有资金20761万元。项目建于信阳高新区新七大道与东环路交叉口，该项目2023年2月取得了不动产权证书（土地证），2022年8月取得了建设用地规划许可证，2025年3月取得建设</w:t>
      </w:r>
      <w:r>
        <w:rPr>
          <w:rFonts w:hint="eastAsia" w:ascii="Times New Roman" w:hAnsi="Times New Roman" w:eastAsia="仿宋_GB2312" w:cs="Times New Roman"/>
          <w:kern w:val="2"/>
          <w:sz w:val="32"/>
          <w:szCs w:val="32"/>
          <w:lang w:val="en-US" w:eastAsia="zh-CN" w:bidi="ar-SA"/>
        </w:rPr>
        <w:t>工程规划许可，2025年4月取得施工许可证。</w:t>
      </w:r>
    </w:p>
    <w:p w14:paraId="1466F1CD">
      <w:pPr>
        <w:pStyle w:val="6"/>
        <w:keepNext w:val="0"/>
        <w:keepLines w:val="0"/>
        <w:pageBreakBefore w:val="0"/>
        <w:widowControl w:val="0"/>
        <w:kinsoku/>
        <w:wordWrap/>
        <w:overflowPunct/>
        <w:topLinePunct w:val="0"/>
        <w:autoSpaceDE/>
        <w:autoSpaceDN/>
        <w:bidi w:val="0"/>
        <w:spacing w:line="590" w:lineRule="exact"/>
        <w:ind w:left="0" w:leftChars="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2.2022年5月，国家发改委明确苏州与信阳结成对口合作关系。项目后续拟与中亿</w:t>
      </w:r>
      <w:r>
        <w:rPr>
          <w:rFonts w:hint="eastAsia" w:ascii="Times New Roman" w:hAnsi="Times New Roman" w:eastAsia="仿宋_GB2312" w:cs="Times New Roman"/>
          <w:kern w:val="2"/>
          <w:sz w:val="32"/>
          <w:szCs w:val="32"/>
          <w:lang w:val="en-US" w:eastAsia="zh-CN" w:bidi="ar-SA"/>
        </w:rPr>
        <w:t>丰控股集团深度合作，发挥中亿丰链主企业优势，重点打造铝合金产业生态链，着力构建“工业铝型材+铝合金门窗+供应链”核心示范园区。当前项目由中亿丰+高发投合资公司共同运营，依托链主企业优势，定制化建设园区基础设施，采用二期分阶段推进模式实施。一期工程已于2024年7月19日正式开工建设，目前正在收尾验收，1#厂房塔楼区域室内穿线，配电室施工完成并验收完成；2#研发中心室内精装施工一层完成90%，2、3层完成70%；3#仓库消缺完成95%；4#厂房具备投产条件；室外道路施工完成95%；停车位铺装整体完成90%，2#研发中心周边花岗岩地面铺装完成85%;室外绿化整体完成85%。目前已有7家企业注册入园，产业集聚效应初步显现。项目以中亿丰罗普斯金铝加工为主导方向，采用“旧设备转移+新设备购置”模式完善产业链，项目全面建成达产后，年产能可达3万吨，年产值5—8亿元，年贡献税收2000—4000万元，带动本地就业120—150人。中亿丰同步将铝材供应链转移至信阳，整合集中采购、原料仓储、物流配送、集中加工等功能，以“供应链+产业链”融合降本增效，推动铝型材产业在中部地区规模化、集群化、高质量发展。</w:t>
      </w:r>
    </w:p>
    <w:p w14:paraId="52D71C1A">
      <w:pPr>
        <w:keepNext w:val="0"/>
        <w:keepLines w:val="0"/>
        <w:pageBreakBefore w:val="0"/>
        <w:widowControl w:val="0"/>
        <w:kinsoku/>
        <w:wordWrap/>
        <w:overflowPunct/>
        <w:topLinePunct w:val="0"/>
        <w:autoSpaceDE/>
        <w:autoSpaceDN/>
        <w:bidi w:val="0"/>
        <w:spacing w:line="590" w:lineRule="exact"/>
        <w:ind w:firstLine="640" w:firstLineChars="200"/>
        <w:contextualSpacing/>
        <w:textAlignment w:val="auto"/>
        <w:rPr>
          <w:rFonts w:hint="default" w:ascii="黑体" w:hAnsi="黑体" w:eastAsia="黑体"/>
          <w:sz w:val="32"/>
          <w:szCs w:val="32"/>
          <w:lang w:val="en-US" w:eastAsia="zh-CN"/>
        </w:rPr>
      </w:pPr>
      <w:r>
        <w:rPr>
          <w:rFonts w:hint="eastAsia" w:ascii="黑体" w:hAnsi="黑体" w:eastAsia="黑体"/>
          <w:sz w:val="32"/>
          <w:szCs w:val="32"/>
          <w:lang w:val="en-US" w:eastAsia="zh-CN"/>
        </w:rPr>
        <w:t>二、资金到位及资金支付情况</w:t>
      </w:r>
    </w:p>
    <w:p w14:paraId="5DCA6D13">
      <w:pPr>
        <w:pStyle w:val="6"/>
        <w:keepNext w:val="0"/>
        <w:keepLines w:val="0"/>
        <w:pageBreakBefore w:val="0"/>
        <w:widowControl w:val="0"/>
        <w:kinsoku/>
        <w:wordWrap/>
        <w:overflowPunct/>
        <w:topLinePunct w:val="0"/>
        <w:autoSpaceDE/>
        <w:autoSpaceDN/>
        <w:bidi w:val="0"/>
        <w:spacing w:line="590" w:lineRule="exact"/>
        <w:ind w:left="0" w:leftChars="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当前项目主要建设资金来源为专项债券资金，已到位30000万元。工程当前施工监理进度为13994.6万元，已拨付至项目方13994.6万元。</w:t>
      </w:r>
    </w:p>
    <w:p w14:paraId="165EA346">
      <w:pPr>
        <w:pStyle w:val="6"/>
        <w:keepNext w:val="0"/>
        <w:keepLines w:val="0"/>
        <w:pageBreakBefore w:val="0"/>
        <w:widowControl w:val="0"/>
        <w:kinsoku/>
        <w:wordWrap/>
        <w:overflowPunct/>
        <w:topLinePunct w:val="0"/>
        <w:autoSpaceDE/>
        <w:autoSpaceDN/>
        <w:bidi w:val="0"/>
        <w:spacing w:line="590" w:lineRule="exact"/>
        <w:ind w:left="0" w:leftChars="0" w:firstLine="640" w:firstLineChars="200"/>
        <w:textAlignment w:val="auto"/>
        <w:rPr>
          <w:rFonts w:hint="eastAsia" w:ascii="Times New Roman" w:hAnsi="Times New Roman" w:eastAsia="仿宋_GB2312" w:cs="Times New Roman"/>
          <w:kern w:val="2"/>
          <w:sz w:val="32"/>
          <w:szCs w:val="32"/>
          <w:lang w:val="en-US" w:eastAsia="zh-CN" w:bidi="ar-SA"/>
        </w:rPr>
      </w:pPr>
    </w:p>
    <w:p w14:paraId="14707D02">
      <w:pPr>
        <w:pStyle w:val="6"/>
        <w:keepNext w:val="0"/>
        <w:keepLines w:val="0"/>
        <w:pageBreakBefore w:val="0"/>
        <w:widowControl w:val="0"/>
        <w:kinsoku/>
        <w:wordWrap/>
        <w:overflowPunct/>
        <w:topLinePunct w:val="0"/>
        <w:autoSpaceDE/>
        <w:autoSpaceDN/>
        <w:bidi w:val="0"/>
        <w:spacing w:line="590" w:lineRule="exact"/>
        <w:ind w:left="0" w:leftChars="0" w:firstLine="640" w:firstLineChars="200"/>
        <w:textAlignment w:val="auto"/>
        <w:rPr>
          <w:rFonts w:hint="eastAsia" w:ascii="Times New Roman" w:hAnsi="Times New Roman" w:eastAsia="仿宋_GB2312" w:cs="Times New Roman"/>
          <w:kern w:val="2"/>
          <w:sz w:val="32"/>
          <w:szCs w:val="32"/>
          <w:lang w:val="en-US" w:eastAsia="zh-CN" w:bidi="ar-SA"/>
        </w:rPr>
      </w:pPr>
    </w:p>
    <w:p w14:paraId="2C68A04C">
      <w:pPr>
        <w:pStyle w:val="6"/>
        <w:keepNext w:val="0"/>
        <w:keepLines w:val="0"/>
        <w:pageBreakBefore w:val="0"/>
        <w:widowControl w:val="0"/>
        <w:kinsoku/>
        <w:wordWrap/>
        <w:overflowPunct/>
        <w:topLinePunct w:val="0"/>
        <w:autoSpaceDE/>
        <w:autoSpaceDN/>
        <w:bidi w:val="0"/>
        <w:spacing w:line="590" w:lineRule="exact"/>
        <w:ind w:left="0" w:leftChars="0" w:firstLine="640" w:firstLineChars="200"/>
        <w:textAlignment w:val="auto"/>
        <w:rPr>
          <w:rFonts w:hint="eastAsia" w:ascii="Times New Roman" w:hAnsi="Times New Roman" w:eastAsia="仿宋_GB2312" w:cs="Times New Roman"/>
          <w:kern w:val="2"/>
          <w:sz w:val="32"/>
          <w:szCs w:val="32"/>
          <w:lang w:val="en-US" w:eastAsia="zh-CN" w:bidi="ar-SA"/>
        </w:rPr>
      </w:pPr>
    </w:p>
    <w:p w14:paraId="77FDC70B">
      <w:pPr>
        <w:pStyle w:val="6"/>
        <w:keepNext w:val="0"/>
        <w:keepLines w:val="0"/>
        <w:pageBreakBefore w:val="0"/>
        <w:widowControl w:val="0"/>
        <w:kinsoku/>
        <w:wordWrap/>
        <w:overflowPunct/>
        <w:topLinePunct w:val="0"/>
        <w:autoSpaceDE/>
        <w:autoSpaceDN/>
        <w:bidi w:val="0"/>
        <w:spacing w:line="590" w:lineRule="exact"/>
        <w:ind w:left="0" w:leftChars="0" w:firstLine="0" w:firstLineChars="0"/>
        <w:textAlignment w:val="auto"/>
        <w:rPr>
          <w:rFonts w:hint="eastAsia" w:ascii="Times New Roman" w:hAnsi="Times New Roman" w:eastAsia="仿宋_GB2312" w:cs="Times New Roman"/>
          <w:kern w:val="2"/>
          <w:sz w:val="32"/>
          <w:szCs w:val="32"/>
          <w:lang w:val="en-US" w:eastAsia="zh-CN" w:bidi="ar-SA"/>
        </w:rPr>
      </w:pPr>
    </w:p>
    <w:p w14:paraId="12601D49">
      <w:pPr>
        <w:spacing w:line="580" w:lineRule="exact"/>
        <w:contextualSpacing/>
        <w:jc w:val="center"/>
        <w:rPr>
          <w:rFonts w:hint="eastAsia" w:ascii="方正小标宋简体" w:eastAsia="方正小标宋简体"/>
          <w:b w:val="0"/>
          <w:bCs w:val="0"/>
          <w:sz w:val="44"/>
          <w:szCs w:val="44"/>
          <w:lang w:val="en-US" w:eastAsia="zh-CN"/>
        </w:rPr>
      </w:pPr>
      <w:r>
        <w:rPr>
          <w:rFonts w:hint="eastAsia" w:ascii="方正小标宋简体" w:eastAsia="方正小标宋简体"/>
          <w:b w:val="0"/>
          <w:bCs w:val="0"/>
          <w:sz w:val="44"/>
          <w:szCs w:val="44"/>
          <w:lang w:val="en-US" w:eastAsia="zh-CN"/>
        </w:rPr>
        <w:t>苏州信阳合作智能装备制造科技园（一期）标准化厂房项目</w:t>
      </w:r>
    </w:p>
    <w:p w14:paraId="12F2B125">
      <w:pPr>
        <w:pStyle w:val="6"/>
        <w:keepNext w:val="0"/>
        <w:keepLines w:val="0"/>
        <w:pageBreakBefore w:val="0"/>
        <w:widowControl w:val="0"/>
        <w:kinsoku/>
        <w:wordWrap/>
        <w:overflowPunct/>
        <w:topLinePunct w:val="0"/>
        <w:autoSpaceDE/>
        <w:autoSpaceDN/>
        <w:bidi w:val="0"/>
        <w:spacing w:line="590" w:lineRule="exact"/>
        <w:ind w:left="0" w:leftChars="0" w:firstLine="640" w:firstLineChars="200"/>
        <w:textAlignment w:val="auto"/>
        <w:rPr>
          <w:rFonts w:hint="eastAsia" w:ascii="Times New Roman" w:hAnsi="Times New Roman" w:eastAsia="仿宋_GB2312" w:cs="Times New Roman"/>
          <w:kern w:val="2"/>
          <w:sz w:val="32"/>
          <w:szCs w:val="32"/>
          <w:lang w:val="en-US" w:eastAsia="zh-CN" w:bidi="ar-SA"/>
        </w:rPr>
      </w:pPr>
    </w:p>
    <w:p w14:paraId="7AF6151B">
      <w:pPr>
        <w:pStyle w:val="6"/>
        <w:keepNext w:val="0"/>
        <w:keepLines w:val="0"/>
        <w:pageBreakBefore w:val="0"/>
        <w:widowControl w:val="0"/>
        <w:kinsoku/>
        <w:wordWrap/>
        <w:overflowPunct/>
        <w:topLinePunct w:val="0"/>
        <w:autoSpaceDE/>
        <w:autoSpaceDN/>
        <w:bidi w:val="0"/>
        <w:spacing w:line="590"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根据《关于对苏州信阳合作电子信息智造科技园（一期）标准化厂房项目可研报告的批复》（信集聚区〔2022〕58号）文件精神，该项目获得立项审批，项目总投资60895.12万元，本项目总规划用地面积76672㎡(约合115.00亩)，本项目计容建筑面积109060㎡，总建筑面积109060㎡。主要建设内容为标准化厂房、业务综合楼、展示及研发中心、职工宿舍、食堂、门卫。资金来源为专项债券资金36000万元（已申请专项债券资金1200万元）、财政自有资金24895.12万元。项目建设地点位于信阳高新区凤鸣大道以东、京港澳高速以西。项目当前已完成招投标、环评等手续，土地已征拆、已批复，未出让。</w:t>
      </w:r>
    </w:p>
    <w:p w14:paraId="433A6F1D">
      <w:pPr>
        <w:pStyle w:val="6"/>
        <w:keepNext w:val="0"/>
        <w:keepLines w:val="0"/>
        <w:pageBreakBefore w:val="0"/>
        <w:widowControl w:val="0"/>
        <w:kinsoku/>
        <w:wordWrap/>
        <w:overflowPunct/>
        <w:topLinePunct w:val="0"/>
        <w:autoSpaceDE/>
        <w:autoSpaceDN/>
        <w:bidi w:val="0"/>
        <w:spacing w:line="590"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当前项目受经济下行因素影响，前期与企业签订的意向租赁协议难以履行，厂房租赁需求下降，投资必要性受限，所以手续办理及支出进度缓慢，同时高新区自批复为“国家级高新区”以来，因基础设施建设、培育主导产业以及兑现招商引资优惠政策等形成较大资金缺口，债券资金被统筹用于保障性支出。下一步，高新区将积极筹措资金，同时督促项目单位完善相关建设手续，加大招商引资力度，推进项目及早建成见效益。</w:t>
      </w:r>
    </w:p>
    <w:p w14:paraId="6FE2CAAE">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2D11BE91">
      <w:pPr>
        <w:spacing w:line="580" w:lineRule="exact"/>
        <w:contextualSpacing/>
        <w:jc w:val="center"/>
        <w:rPr>
          <w:rFonts w:hint="eastAsia" w:ascii="方正小标宋简体" w:eastAsia="方正小标宋简体"/>
          <w:b w:val="0"/>
          <w:bCs w:val="0"/>
          <w:sz w:val="44"/>
          <w:szCs w:val="44"/>
          <w:lang w:val="en-US" w:eastAsia="zh-CN"/>
        </w:rPr>
      </w:pPr>
      <w:r>
        <w:rPr>
          <w:rFonts w:hint="eastAsia" w:ascii="方正小标宋简体" w:eastAsia="方正小标宋简体"/>
          <w:b w:val="0"/>
          <w:bCs w:val="0"/>
          <w:sz w:val="44"/>
          <w:szCs w:val="44"/>
          <w:lang w:val="en-US" w:eastAsia="zh-CN"/>
        </w:rPr>
        <w:t>信阳高新区豫南小微企业产业园标准化厂房建设项目</w:t>
      </w:r>
    </w:p>
    <w:p w14:paraId="7A122293">
      <w:pPr>
        <w:keepNext w:val="0"/>
        <w:keepLines w:val="0"/>
        <w:pageBreakBefore w:val="0"/>
        <w:widowControl w:val="0"/>
        <w:numPr>
          <w:ilvl w:val="0"/>
          <w:numId w:val="0"/>
        </w:numPr>
        <w:kinsoku/>
        <w:wordWrap/>
        <w:overflowPunct/>
        <w:topLinePunct w:val="0"/>
        <w:autoSpaceDE/>
        <w:autoSpaceDN/>
        <w:bidi w:val="0"/>
        <w:spacing w:line="590" w:lineRule="exact"/>
        <w:ind w:firstLine="640" w:firstLineChars="200"/>
        <w:textAlignment w:val="auto"/>
        <w:rPr>
          <w:rFonts w:hint="eastAsia" w:ascii="Times New Roman" w:hAnsi="Times New Roman" w:eastAsia="仿宋_GB2312" w:cs="Times New Roman"/>
          <w:kern w:val="2"/>
          <w:sz w:val="32"/>
          <w:szCs w:val="32"/>
          <w:lang w:val="en-US" w:eastAsia="zh-CN" w:bidi="ar-SA"/>
        </w:rPr>
      </w:pPr>
    </w:p>
    <w:p w14:paraId="04DBF668">
      <w:pPr>
        <w:keepNext w:val="0"/>
        <w:keepLines w:val="0"/>
        <w:pageBreakBefore w:val="0"/>
        <w:widowControl w:val="0"/>
        <w:numPr>
          <w:ilvl w:val="0"/>
          <w:numId w:val="0"/>
        </w:numPr>
        <w:kinsoku/>
        <w:wordWrap/>
        <w:overflowPunct/>
        <w:topLinePunct w:val="0"/>
        <w:autoSpaceDE/>
        <w:autoSpaceDN/>
        <w:bidi w:val="0"/>
        <w:spacing w:line="59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根据《关于对信阳高新区豫南小微企业产业园建设项目可行性研究报告的批复》（信集聚区〔2022〕77号）文件精神，该项目获得立项审批，项目总投资20865.33万元，本项目主要包括2个地块标准化厂房的建设，规划总用地面积35755㎡（合53.63亩），总建筑面积63763.9㎡。主要建设内容为生产厂房、办公及研发中心、宿舍楼、设备用房、门卫室。资金来源为专项债券资金12800万元（已申请债券资金12800万元）、财政自有资金8065.33万元。项目建设地点位于本项目建设地点位于信阳高新区新十一大道以北，工七路以南，东环路以西，工十四路以东。地块25亩部分当前正在建设，剩余地块28.63亩已征拆，未出让。</w:t>
      </w:r>
    </w:p>
    <w:p w14:paraId="679308D5">
      <w:pPr>
        <w:keepNext w:val="0"/>
        <w:keepLines w:val="0"/>
        <w:pageBreakBefore w:val="0"/>
        <w:widowControl w:val="0"/>
        <w:numPr>
          <w:ilvl w:val="0"/>
          <w:numId w:val="0"/>
        </w:numPr>
        <w:kinsoku/>
        <w:wordWrap/>
        <w:overflowPunct/>
        <w:topLinePunct w:val="0"/>
        <w:autoSpaceDE/>
        <w:autoSpaceDN/>
        <w:bidi w:val="0"/>
        <w:spacing w:line="590" w:lineRule="exact"/>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当前项目受经济下行因素影响，前期与企业签订的意向租赁协议难以履行，厂房租赁需求下降，投资必要性受限，所以手续办理及支出进度缓慢，同时高新区自批复为“国家级高新区”以来，因基础设施建设、培育主导产业以及兑现招商引资优惠政策等形成较大资金缺口，债券资金被统筹用于保障性支出。下一步，高新区将积极筹措资金，同时督促项目单位完善相关建设手续，加大招商引资力度，推进项目及早建成见效益。</w:t>
      </w:r>
    </w:p>
    <w:p w14:paraId="21FF7E01">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1D0FC9E9">
      <w:pPr>
        <w:spacing w:line="580" w:lineRule="exact"/>
        <w:contextualSpacing/>
        <w:jc w:val="center"/>
        <w:rPr>
          <w:rFonts w:hint="default" w:ascii="方正小标宋简体" w:eastAsia="方正小标宋简体"/>
          <w:b w:val="0"/>
          <w:bCs w:val="0"/>
          <w:sz w:val="44"/>
          <w:szCs w:val="44"/>
          <w:lang w:val="en-US" w:eastAsia="zh-CN"/>
        </w:rPr>
      </w:pPr>
      <w:r>
        <w:rPr>
          <w:rFonts w:hint="eastAsia" w:ascii="方正小标宋简体" w:eastAsia="方正小标宋简体"/>
          <w:b w:val="0"/>
          <w:bCs w:val="0"/>
          <w:sz w:val="44"/>
          <w:szCs w:val="44"/>
          <w:lang w:val="en-US" w:eastAsia="zh-CN"/>
        </w:rPr>
        <w:t>信阳高新区物联网信息产业园</w:t>
      </w:r>
    </w:p>
    <w:p w14:paraId="2E12EBEB">
      <w:pPr>
        <w:keepNext w:val="0"/>
        <w:keepLines w:val="0"/>
        <w:pageBreakBefore w:val="0"/>
        <w:widowControl w:val="0"/>
        <w:numPr>
          <w:ilvl w:val="0"/>
          <w:numId w:val="0"/>
        </w:numPr>
        <w:kinsoku/>
        <w:wordWrap/>
        <w:overflowPunct/>
        <w:topLinePunct w:val="0"/>
        <w:autoSpaceDE/>
        <w:autoSpaceDN/>
        <w:bidi w:val="0"/>
        <w:spacing w:line="590" w:lineRule="exact"/>
        <w:ind w:firstLine="640" w:firstLineChars="200"/>
        <w:textAlignment w:val="auto"/>
        <w:rPr>
          <w:rFonts w:hint="eastAsia" w:ascii="Times New Roman" w:hAnsi="Times New Roman" w:eastAsia="仿宋_GB2312" w:cs="Times New Roman"/>
          <w:kern w:val="2"/>
          <w:sz w:val="32"/>
          <w:szCs w:val="32"/>
          <w:lang w:val="en-US" w:eastAsia="zh-CN" w:bidi="ar-SA"/>
        </w:rPr>
      </w:pPr>
    </w:p>
    <w:p w14:paraId="32454584">
      <w:pPr>
        <w:keepNext w:val="0"/>
        <w:keepLines w:val="0"/>
        <w:pageBreakBefore w:val="0"/>
        <w:widowControl w:val="0"/>
        <w:numPr>
          <w:ilvl w:val="0"/>
          <w:numId w:val="0"/>
        </w:numPr>
        <w:kinsoku/>
        <w:wordWrap/>
        <w:overflowPunct/>
        <w:topLinePunct w:val="0"/>
        <w:autoSpaceDE/>
        <w:autoSpaceDN/>
        <w:bidi w:val="0"/>
        <w:spacing w:line="59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根据《关于对信阳高新区物联网信息产业园项目可行性研究报告的批复》（信集聚区〔2022〕24号）文件精神，该项目获得立项审批，项目总投资15348.72万元，本项目总用地面积为22239.01㎡（约合33.36亩），总建筑面积为46737.04㎡，其中地上建筑面积40257.04㎡，地下建筑6480㎡。项目建设内容主要包括以物联网、信息技术产业为主导的制造中心、研发中心、孵化中心及相关服务配套用房等。资金来源为专项债券资金6200万元（已申请债券资金6200万元）、财政自有资金9148.72万元。项目建设地点位于信阳市高新技术产业开发区工七路以南、B9路（规划路）以东、连接线以西、工九路以北区域。当前已建成并投入运营。</w:t>
      </w:r>
    </w:p>
    <w:p w14:paraId="7886FEDE">
      <w:pPr>
        <w:keepNext w:val="0"/>
        <w:keepLines w:val="0"/>
        <w:pageBreakBefore w:val="0"/>
        <w:widowControl w:val="0"/>
        <w:numPr>
          <w:ilvl w:val="0"/>
          <w:numId w:val="0"/>
        </w:numPr>
        <w:kinsoku/>
        <w:wordWrap/>
        <w:overflowPunct/>
        <w:topLinePunct w:val="0"/>
        <w:autoSpaceDE/>
        <w:autoSpaceDN/>
        <w:bidi w:val="0"/>
        <w:spacing w:line="59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当前项目受经济下行因素影响，前期与企业签订的意向租赁协议难以履行，厂房租赁需求下降，投资必要性受限，所以手续办理及支出进度缓慢，同时高新区自批复为“国家级高新区”以来，因基础设施建设、培育主导产业以及兑现招商引资优惠政策等形成较大资金缺口，债券资金被统筹用于保障性支出。下一步，高新区将积极筹措资金，同时督促项目单位完善相关建设手续，加大招商引资力度，推进项目及早建成见效益。</w:t>
      </w:r>
    </w:p>
    <w:p w14:paraId="1643504A">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6CBD2DA6">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15CEF744">
      <w:pPr>
        <w:spacing w:line="580" w:lineRule="exact"/>
        <w:contextualSpacing/>
        <w:jc w:val="center"/>
        <w:rPr>
          <w:rFonts w:hint="default" w:ascii="方正小标宋简体" w:eastAsia="方正小标宋简体"/>
          <w:b w:val="0"/>
          <w:bCs w:val="0"/>
          <w:sz w:val="44"/>
          <w:szCs w:val="44"/>
          <w:lang w:val="en-US" w:eastAsia="zh-CN"/>
        </w:rPr>
      </w:pPr>
      <w:r>
        <w:rPr>
          <w:rFonts w:hint="eastAsia" w:ascii="方正小标宋简体" w:eastAsia="方正小标宋简体"/>
          <w:b w:val="0"/>
          <w:bCs w:val="0"/>
          <w:sz w:val="44"/>
          <w:szCs w:val="44"/>
          <w:lang w:val="en-US" w:eastAsia="zh-CN"/>
        </w:rPr>
        <w:t>信阳高新区凤鸣大道等综合管网建设项目</w:t>
      </w:r>
    </w:p>
    <w:p w14:paraId="075FBE0D">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方正仿宋_GBK" w:cs="Times New Roman"/>
          <w:b/>
          <w:bCs/>
          <w:sz w:val="32"/>
          <w:szCs w:val="32"/>
          <w:lang w:val="en-US" w:eastAsia="zh-CN" w:bidi="ar-SA"/>
        </w:rPr>
      </w:pPr>
    </w:p>
    <w:p w14:paraId="3475C7DC">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方正仿宋_GBK" w:cs="Times New Roman"/>
          <w:b/>
          <w:bCs/>
          <w:sz w:val="32"/>
          <w:szCs w:val="32"/>
          <w:lang w:val="en-US" w:eastAsia="zh-CN" w:bidi="ar-SA"/>
        </w:rPr>
        <w:t>项目建设必要性</w:t>
      </w:r>
      <w:r>
        <w:rPr>
          <w:rFonts w:hint="eastAsia" w:ascii="Times New Roman" w:hAnsi="Times New Roman" w:eastAsia="方正仿宋_GBK" w:cs="Times New Roman"/>
          <w:b/>
          <w:bCs/>
          <w:sz w:val="32"/>
          <w:szCs w:val="32"/>
          <w:lang w:val="en-US" w:eastAsia="zh-CN" w:bidi="ar-SA"/>
        </w:rPr>
        <w:t>：</w:t>
      </w:r>
      <w:r>
        <w:rPr>
          <w:rFonts w:hint="default" w:ascii="Times New Roman" w:hAnsi="Times New Roman" w:eastAsia="仿宋_GB2312" w:cs="Times New Roman"/>
          <w:kern w:val="0"/>
          <w:sz w:val="32"/>
          <w:szCs w:val="32"/>
          <w:lang w:val="en-US" w:eastAsia="zh-CN" w:bidi="ar-SA"/>
        </w:rPr>
        <w:t>城市地下管线的配套建设是衡量一个城市硬件设施是否完善的重要标志之一，是城市本身长远发展的重要保障。地下管线美观整齐且基本不占地面空间，发生人身伤害概率小，外力影响很少，可避免风雨、雷电、盐雾、污秽等外力造成的短路和接地故障，有利于提高系统的功率因数，同时可靠性高、稳定性好。城市地下综合管线的配套建设是衡量一个城市硬件设施是否完善的重要标志之一，是城市本身长远发展的重要保障。</w:t>
      </w:r>
    </w:p>
    <w:p w14:paraId="50AB5D76">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sz w:val="32"/>
          <w:szCs w:val="32"/>
          <w:lang w:val="en-US" w:eastAsia="zh-CN" w:bidi="ar-SA"/>
        </w:rPr>
        <w:t>建设选址及投资规模：</w:t>
      </w:r>
      <w:r>
        <w:rPr>
          <w:rFonts w:hint="eastAsia" w:ascii="Times New Roman" w:hAnsi="Times New Roman" w:eastAsia="仿宋_GB2312" w:cs="Times New Roman"/>
          <w:kern w:val="0"/>
          <w:sz w:val="32"/>
          <w:szCs w:val="32"/>
          <w:lang w:val="en-US" w:eastAsia="zh-CN" w:bidi="ar-SA"/>
        </w:rPr>
        <w:t>本项目建设地点位于信阳高新技术产业开发区凤鸣大道(北环路豫龙大道段)，工一路(工十八路~工二十八路段)，工三路(工十八路~工二十八路段)，工五路(工二十四路~工二十八路段)。项目总投资 26442.49 万元，资金来源为专项债券资金和财政资金，其中：拟申请专项债券资金14.000.00万元，已发行专项债券资金7000万元。</w:t>
      </w:r>
    </w:p>
    <w:p w14:paraId="251CF49A">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方正仿宋_GBK" w:cs="Times New Roman"/>
          <w:b/>
          <w:bCs/>
          <w:sz w:val="32"/>
          <w:szCs w:val="32"/>
          <w:lang w:val="en-US" w:eastAsia="zh-CN" w:bidi="ar-SA"/>
        </w:rPr>
        <w:t>项目建设情况：</w:t>
      </w:r>
      <w:r>
        <w:rPr>
          <w:rFonts w:hint="eastAsia" w:ascii="Times New Roman" w:hAnsi="Times New Roman" w:eastAsia="仿宋_GB2312" w:cs="Times New Roman"/>
          <w:kern w:val="0"/>
          <w:sz w:val="32"/>
          <w:szCs w:val="32"/>
          <w:lang w:val="en-US" w:eastAsia="zh-CN" w:bidi="ar-SA"/>
        </w:rPr>
        <w:t>目前该项目工三路、工五路管网中电缆等部分正在施工。</w:t>
      </w:r>
    </w:p>
    <w:p w14:paraId="10DF51EA">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Times New Roman"/>
          <w:kern w:val="0"/>
          <w:sz w:val="32"/>
          <w:szCs w:val="32"/>
          <w:lang w:val="en-US" w:eastAsia="zh-CN" w:bidi="ar-SA"/>
        </w:rPr>
      </w:pPr>
    </w:p>
    <w:p w14:paraId="49C20BE5">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Times New Roman"/>
          <w:kern w:val="0"/>
          <w:sz w:val="32"/>
          <w:szCs w:val="32"/>
          <w:lang w:val="en-US" w:eastAsia="zh-CN" w:bidi="ar-SA"/>
        </w:rPr>
      </w:pPr>
    </w:p>
    <w:p w14:paraId="7E1B308C">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Times New Roman"/>
          <w:kern w:val="0"/>
          <w:sz w:val="32"/>
          <w:szCs w:val="32"/>
          <w:lang w:val="en-US" w:eastAsia="zh-CN" w:bidi="ar-SA"/>
        </w:rPr>
      </w:pPr>
    </w:p>
    <w:p w14:paraId="71E90CBD">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Times New Roman" w:hAnsi="Times New Roman" w:eastAsia="仿宋_GB2312" w:cs="Times New Roman"/>
          <w:kern w:val="0"/>
          <w:sz w:val="32"/>
          <w:szCs w:val="32"/>
          <w:lang w:val="en-US" w:eastAsia="zh-CN" w:bidi="ar-SA"/>
        </w:rPr>
      </w:pPr>
    </w:p>
    <w:p w14:paraId="5C8DCA71">
      <w:pPr>
        <w:spacing w:line="580" w:lineRule="exact"/>
        <w:contextualSpacing/>
        <w:jc w:val="center"/>
        <w:rPr>
          <w:rFonts w:hint="default" w:ascii="方正小标宋简体" w:eastAsia="方正小标宋简体"/>
          <w:b w:val="0"/>
          <w:bCs w:val="0"/>
          <w:sz w:val="44"/>
          <w:szCs w:val="44"/>
          <w:lang w:val="en-US" w:eastAsia="zh-CN"/>
        </w:rPr>
      </w:pPr>
      <w:r>
        <w:rPr>
          <w:rFonts w:hint="eastAsia" w:ascii="方正小标宋简体" w:eastAsia="方正小标宋简体"/>
          <w:b w:val="0"/>
          <w:bCs w:val="0"/>
          <w:sz w:val="44"/>
          <w:szCs w:val="44"/>
          <w:lang w:val="en-US" w:eastAsia="zh-CN"/>
        </w:rPr>
        <w:t>信阳高新区双创中心项目</w:t>
      </w:r>
    </w:p>
    <w:p w14:paraId="11DB39CD">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方正仿宋_GBK" w:cs="Times New Roman"/>
          <w:b/>
          <w:bCs/>
          <w:sz w:val="32"/>
          <w:szCs w:val="32"/>
          <w:lang w:val="en-US" w:eastAsia="zh-CN" w:bidi="ar-SA"/>
        </w:rPr>
      </w:pPr>
    </w:p>
    <w:p w14:paraId="7F6BA12D">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方正仿宋_GBK" w:cs="Times New Roman"/>
          <w:b/>
          <w:bCs/>
          <w:sz w:val="32"/>
          <w:szCs w:val="32"/>
          <w:lang w:val="en-US" w:eastAsia="zh-CN" w:bidi="ar-SA"/>
        </w:rPr>
        <w:t>项目建设必要性</w:t>
      </w:r>
      <w:r>
        <w:rPr>
          <w:rFonts w:hint="eastAsia" w:ascii="Times New Roman" w:hAnsi="Times New Roman" w:eastAsia="方正仿宋_GBK" w:cs="Times New Roman"/>
          <w:b/>
          <w:bCs/>
          <w:sz w:val="32"/>
          <w:szCs w:val="32"/>
          <w:lang w:val="en-US" w:eastAsia="zh-CN" w:bidi="ar-SA"/>
        </w:rPr>
        <w:t>：</w:t>
      </w:r>
      <w:r>
        <w:rPr>
          <w:rFonts w:hint="default" w:ascii="Times New Roman" w:hAnsi="Times New Roman" w:eastAsia="仿宋_GB2312" w:cs="Times New Roman"/>
          <w:kern w:val="0"/>
          <w:sz w:val="32"/>
          <w:szCs w:val="32"/>
          <w:lang w:val="en-US" w:eastAsia="zh-CN" w:bidi="ar-SA"/>
        </w:rPr>
        <w:t>项目建成后将成为信阳市高新区高新技术企业孵育基地、创新创业人才聚集和培育基地、高新技术产业辐射基地，成为展示信阳高新区双创中心项目产业化形象、推进交流的窗口。通过为初创的科技企业及与孵化相关的社会中介机构提供办公和经营的空间和研发场地，以一流的软硬件发展环境，为中小型高科技企业的成长营造良好的发展氛围。形成一批具有自主知识产权的高新技术产品，培养一批复合型创新人才和科技企业家，解决一批大学生及其他劳动力的就业问题。项目还能够带动相关行业的发展，成为信阳市高新区的一个功能区和重要组成部分，促进生产、生活类第三产业的发展。进一步提高科技进步对经济增长的贡献率，将信阳市的大众创业、万众创新力争走在全国前列，助力河南省迈入创新型省份行列。</w:t>
      </w:r>
    </w:p>
    <w:p w14:paraId="184016FA">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sz w:val="32"/>
          <w:szCs w:val="32"/>
          <w:lang w:val="en-US" w:eastAsia="zh-CN" w:bidi="ar-SA"/>
        </w:rPr>
        <w:t>建设选址及投资规模：</w:t>
      </w:r>
      <w:r>
        <w:rPr>
          <w:rFonts w:hint="eastAsia" w:ascii="Times New Roman" w:hAnsi="Times New Roman" w:eastAsia="仿宋_GB2312" w:cs="Times New Roman"/>
          <w:kern w:val="0"/>
          <w:sz w:val="32"/>
          <w:szCs w:val="32"/>
          <w:lang w:val="en-US" w:eastAsia="zh-CN" w:bidi="ar-SA"/>
        </w:rPr>
        <w:t>本项目建设地点位于信阳市高新区新七大道以南，河南省中橡狼牌轮胎科技有限公司以北区域，占地 40亩。总投资18971万元，申请专项债券资金7500万元，已发行专项债券5000万元。</w:t>
      </w:r>
    </w:p>
    <w:p w14:paraId="6DB2F941">
      <w:pPr>
        <w:keepNext w:val="0"/>
        <w:keepLines w:val="0"/>
        <w:pageBreakBefore w:val="0"/>
        <w:widowControl w:val="0"/>
        <w:numPr>
          <w:ilvl w:val="0"/>
          <w:numId w:val="0"/>
        </w:numPr>
        <w:kinsoku/>
        <w:wordWrap/>
        <w:overflowPunct/>
        <w:topLinePunct w:val="0"/>
        <w:autoSpaceDE/>
        <w:autoSpaceDN/>
        <w:bidi w:val="0"/>
        <w:spacing w:line="590" w:lineRule="exact"/>
        <w:ind w:firstLine="643"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方正仿宋_GBK" w:cs="Times New Roman"/>
          <w:b/>
          <w:bCs/>
          <w:sz w:val="32"/>
          <w:szCs w:val="32"/>
          <w:lang w:val="en-US" w:eastAsia="zh-CN" w:bidi="ar-SA"/>
        </w:rPr>
        <w:t>项目建设情况：</w:t>
      </w:r>
      <w:r>
        <w:rPr>
          <w:rFonts w:hint="eastAsia" w:ascii="Times New Roman" w:hAnsi="Times New Roman" w:eastAsia="仿宋_GB2312" w:cs="Times New Roman"/>
          <w:kern w:val="2"/>
          <w:sz w:val="32"/>
          <w:szCs w:val="32"/>
          <w:lang w:val="en-US" w:eastAsia="zh-CN" w:bidi="ar-SA"/>
        </w:rPr>
        <w:t>当前项目受经济下行因素影响，前期与企业签订的意向租赁协议难以履行，厂房租赁需求下降，投资必要性受限，所以手续办理及支出进度缓慢，同时高新区自批复为“国家级高新区”以来，因基础设施建设、培育主导产业以及兑现招商引资优惠政策等形成较大资金缺口，债券资金被统筹用于保障性支出。下一步，高新区将积极筹措资金，同时督促项目单位完善相关建设手续，加大招商引资力度，推进项目及早建成见效益。</w:t>
      </w:r>
    </w:p>
    <w:p w14:paraId="09F32EAB">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2DBE7908">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5E12B7C9">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44FC3281">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0892C0CF">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33AAD7EC">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1A2DFCA7">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49C6DB31">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387BD87E">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03F17F99">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22152343">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3F1D879D">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322F580A">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2C83115E">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7E62553E">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24EEF9F6">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5C3B4000">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35EDA029">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3A8DD6AD">
      <w:pPr>
        <w:keepNext w:val="0"/>
        <w:keepLines w:val="0"/>
        <w:pageBreakBefore w:val="0"/>
        <w:widowControl w:val="0"/>
        <w:kinsoku/>
        <w:wordWrap/>
        <w:overflowPunct/>
        <w:topLinePunct w:val="0"/>
        <w:autoSpaceDE/>
        <w:autoSpaceDN/>
        <w:bidi w:val="0"/>
        <w:spacing w:line="590" w:lineRule="exact"/>
        <w:contextualSpacing/>
        <w:textAlignment w:val="auto"/>
        <w:rPr>
          <w:rFonts w:hint="eastAsia" w:ascii="黑体" w:hAnsi="黑体" w:eastAsia="黑体"/>
          <w:sz w:val="32"/>
          <w:szCs w:val="32"/>
          <w:lang w:val="en-US" w:eastAsia="zh-CN"/>
        </w:rPr>
      </w:pPr>
    </w:p>
    <w:p w14:paraId="0E607FFC">
      <w:pPr>
        <w:keepNext w:val="0"/>
        <w:keepLines w:val="0"/>
        <w:pageBreakBefore w:val="0"/>
        <w:widowControl w:val="0"/>
        <w:kinsoku/>
        <w:wordWrap/>
        <w:overflowPunct/>
        <w:topLinePunct w:val="0"/>
        <w:autoSpaceDE/>
        <w:autoSpaceDN/>
        <w:bidi w:val="0"/>
        <w:spacing w:line="590" w:lineRule="exact"/>
        <w:contextualSpacing/>
        <w:jc w:val="center"/>
        <w:textAlignment w:val="auto"/>
        <w:rPr>
          <w:rFonts w:hint="eastAsia" w:ascii="仿宋_GB2312" w:eastAsia="仿宋_GB2312"/>
          <w:b/>
          <w:bCs/>
          <w:sz w:val="32"/>
          <w:szCs w:val="32"/>
        </w:rPr>
      </w:pPr>
      <w:r>
        <w:rPr>
          <w:rFonts w:hint="eastAsia" w:ascii="方正小标宋简体" w:eastAsia="方正小标宋简体"/>
          <w:b w:val="0"/>
          <w:bCs w:val="0"/>
          <w:sz w:val="44"/>
          <w:szCs w:val="44"/>
          <w:lang w:val="en-US" w:eastAsia="zh-CN"/>
        </w:rPr>
        <w:t>信阳汇泽电子产业园及国际物流配送中心一期建设项目</w:t>
      </w:r>
    </w:p>
    <w:p w14:paraId="28E0D7C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rPr>
      </w:pPr>
    </w:p>
    <w:p w14:paraId="6E0340A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hint="eastAsia" w:ascii="仿宋_GB2312" w:eastAsia="仿宋_GB2312"/>
          <w:b/>
          <w:bCs/>
          <w:sz w:val="32"/>
          <w:szCs w:val="32"/>
        </w:rPr>
        <w:t>项目建设必要性</w:t>
      </w:r>
      <w:r>
        <w:rPr>
          <w:rFonts w:hint="eastAsia" w:ascii="仿宋_GB2312" w:eastAsia="仿宋_GB2312"/>
          <w:sz w:val="32"/>
          <w:szCs w:val="32"/>
        </w:rPr>
        <w:t>：近年来，信阳高新区聚焦优势产业集群，重点培育电子信息产业智能显示终端和智能通信终端两条产业链，但是尚未形成完善的全产业链和较好的集聚效应，研发实力薄弱，对下产业链条闭合性弱，没有形成以产业链为基础的、集科研开发、关键零部件制造服务为一体的产业价值链等。建设标准化厂房工业区，可以有效节约土地资源，集约使用土地，促进工业集中、产业集聚、企业集群。同时以资源高效利用为核心，形成低投入、低消耗、低排放和高效率的节约型工业区，实现经济社会可持续发展。本项目的建设是当地发展循环经济、构建资源节约型社会的需要。信阳汇泽电子产业园及国际物流配送中心一期建设项目具有社会公益性，通过引进沿海地区的先进技术和管理模式，整合优化资源，集成创新出具有自身特色的电子产品，全力打造自主品牌，以打造河南省乃至中部地区最大的电子产品研发生产基地，并兼具高效快捷的电子产业物流配送功能为目标，符合河南省和信阳发展电子信息产业的迫切要求。</w:t>
      </w:r>
    </w:p>
    <w:p w14:paraId="601B568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方正仿宋_GBK" w:cs="Times New Roman"/>
          <w:b/>
          <w:bCs/>
          <w:color w:val="000000"/>
          <w:kern w:val="0"/>
          <w:sz w:val="32"/>
          <w:szCs w:val="32"/>
          <w:lang w:val="en-US" w:eastAsia="zh-CN" w:bidi="ar"/>
        </w:rPr>
        <w:t>投资估算</w:t>
      </w:r>
      <w:r>
        <w:rPr>
          <w:rFonts w:hint="eastAsia" w:ascii="仿宋_GB2312" w:eastAsia="仿宋_GB2312"/>
          <w:sz w:val="32"/>
          <w:szCs w:val="32"/>
        </w:rPr>
        <w:t>：</w:t>
      </w:r>
      <w:r>
        <w:rPr>
          <w:rFonts w:hint="default" w:ascii="Times New Roman" w:hAnsi="Times New Roman" w:eastAsia="仿宋_GB2312" w:cs="Times New Roman"/>
          <w:b w:val="0"/>
          <w:bCs w:val="0"/>
          <w:sz w:val="32"/>
          <w:szCs w:val="32"/>
        </w:rPr>
        <w:t>73273.75万元。申请专项债资金：截止202</w:t>
      </w:r>
      <w:r>
        <w:rPr>
          <w:rFonts w:hint="eastAsia" w:ascii="Times New Roman" w:hAnsi="Times New Roman" w:eastAsia="仿宋_GB2312" w:cs="Times New Roman"/>
          <w:b w:val="0"/>
          <w:bCs w:val="0"/>
          <w:sz w:val="32"/>
          <w:szCs w:val="32"/>
          <w:lang w:val="en-US" w:eastAsia="zh-CN"/>
        </w:rPr>
        <w:t>5</w:t>
      </w:r>
    </w:p>
    <w:p w14:paraId="6A7E02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b w:val="0"/>
          <w:bCs w:val="0"/>
          <w:sz w:val="32"/>
          <w:szCs w:val="32"/>
          <w:lang w:eastAsia="zh-CN"/>
        </w:rPr>
      </w:pPr>
      <w:r>
        <w:rPr>
          <w:rFonts w:hint="default" w:ascii="Times New Roman" w:hAnsi="Times New Roman" w:eastAsia="仿宋_GB2312" w:cs="Times New Roman"/>
          <w:b w:val="0"/>
          <w:bCs w:val="0"/>
          <w:sz w:val="32"/>
          <w:szCs w:val="32"/>
        </w:rPr>
        <w:t>年底已申请专项债资金</w:t>
      </w:r>
      <w:r>
        <w:rPr>
          <w:rFonts w:hint="default" w:ascii="Times New Roman" w:hAnsi="Times New Roman" w:eastAsia="仿宋_GB2312" w:cs="Times New Roman"/>
          <w:b w:val="0"/>
          <w:bCs w:val="0"/>
          <w:sz w:val="32"/>
          <w:szCs w:val="32"/>
          <w:lang w:val="en-US" w:eastAsia="zh-CN"/>
        </w:rPr>
        <w:t>20500</w:t>
      </w:r>
      <w:r>
        <w:rPr>
          <w:rFonts w:hint="default" w:ascii="Times New Roman" w:hAnsi="Times New Roman" w:eastAsia="仿宋_GB2312" w:cs="Times New Roman"/>
          <w:b w:val="0"/>
          <w:bCs w:val="0"/>
          <w:sz w:val="32"/>
          <w:szCs w:val="32"/>
        </w:rPr>
        <w:t>万</w:t>
      </w:r>
      <w:r>
        <w:rPr>
          <w:rFonts w:hint="default" w:ascii="Times New Roman" w:hAnsi="Times New Roman" w:eastAsia="仿宋_GB2312" w:cs="Times New Roman"/>
          <w:b w:val="0"/>
          <w:bCs w:val="0"/>
          <w:sz w:val="32"/>
          <w:szCs w:val="32"/>
          <w:lang w:val="en-US" w:eastAsia="zh-CN"/>
        </w:rPr>
        <w:t>元</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截止202</w:t>
      </w:r>
      <w:r>
        <w:rPr>
          <w:rFonts w:hint="eastAsia" w:ascii="Times New Roman" w:hAnsi="Times New Roman" w:eastAsia="仿宋_GB2312" w:cs="Times New Roman"/>
          <w:b w:val="0"/>
          <w:bCs w:val="0"/>
          <w:sz w:val="32"/>
          <w:szCs w:val="32"/>
          <w:lang w:val="en-US" w:eastAsia="zh-CN"/>
        </w:rPr>
        <w:t>5</w:t>
      </w:r>
      <w:r>
        <w:rPr>
          <w:rFonts w:hint="default" w:ascii="Times New Roman" w:hAnsi="Times New Roman" w:eastAsia="仿宋_GB2312" w:cs="Times New Roman"/>
          <w:b w:val="0"/>
          <w:bCs w:val="0"/>
          <w:sz w:val="32"/>
          <w:szCs w:val="32"/>
        </w:rPr>
        <w:t>年底已投资金额：41265.78万元</w:t>
      </w:r>
      <w:r>
        <w:rPr>
          <w:rFonts w:hint="default" w:ascii="Times New Roman" w:hAnsi="Times New Roman" w:eastAsia="仿宋_GB2312" w:cs="Times New Roman"/>
          <w:b w:val="0"/>
          <w:bCs w:val="0"/>
          <w:sz w:val="32"/>
          <w:szCs w:val="32"/>
          <w:lang w:eastAsia="zh-CN"/>
        </w:rPr>
        <w:t>。</w:t>
      </w:r>
    </w:p>
    <w:p w14:paraId="1220CBF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黑体" w:cs="Times New Roman"/>
          <w:sz w:val="32"/>
          <w:szCs w:val="32"/>
        </w:rPr>
      </w:pPr>
      <w:r>
        <w:rPr>
          <w:rFonts w:hint="eastAsia" w:ascii="仿宋_GB2312" w:eastAsia="仿宋_GB2312"/>
          <w:b/>
          <w:bCs/>
          <w:sz w:val="32"/>
          <w:szCs w:val="32"/>
        </w:rPr>
        <w:t>项目建设进度：</w:t>
      </w:r>
      <w:r>
        <w:rPr>
          <w:rFonts w:ascii="Times New Roman" w:hAnsi="Times New Roman" w:eastAsia="黑体" w:cs="Times New Roman"/>
          <w:sz w:val="32"/>
          <w:szCs w:val="32"/>
        </w:rPr>
        <w:t>A区（标准化厂房）</w:t>
      </w:r>
    </w:p>
    <w:p w14:paraId="097A2A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规划建设6栋标准化厂房，总建筑面积224808㎡，已实际支付工程建设资金16400.63万元。A1厂房未开工。A2主体框架已完成。A3厂房已完成主体结构、二次结构及墙体砌筑、屋面防水、内外立面粉刷、给排水、室内主电缆和消防设施安装，污水管网及污水处理设施安装完成，室外道路硬化、绿化建设已完成。A4厂房主体结构已完成、二至四层内外墙粉刷已完成、一层地坪钢筋已完成，正在进行装饰装修施工。A5厂房已建成投入使用</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A6厂房主体已封顶，二次装饰装修已完成75%。</w:t>
      </w:r>
    </w:p>
    <w:p w14:paraId="404241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rPr>
      </w:pPr>
      <w:r>
        <w:rPr>
          <w:rFonts w:ascii="Times New Roman" w:hAnsi="Times New Roman" w:eastAsia="黑体" w:cs="Times New Roman"/>
          <w:sz w:val="32"/>
          <w:szCs w:val="32"/>
        </w:rPr>
        <w:t>B区（培训住宿）</w:t>
      </w:r>
      <w:r>
        <w:rPr>
          <w:rFonts w:hint="default" w:ascii="Times New Roman" w:hAnsi="Times New Roman" w:eastAsia="仿宋_GB2312" w:cs="Times New Roman"/>
          <w:b w:val="0"/>
          <w:bCs w:val="0"/>
          <w:sz w:val="32"/>
          <w:szCs w:val="32"/>
        </w:rPr>
        <w:t>规划建设三栋楼B1、B2、B3，总建筑面积149522㎡，已实际支付工程建设资金</w:t>
      </w:r>
      <w:r>
        <w:rPr>
          <w:rFonts w:hint="eastAsia" w:ascii="Times New Roman" w:hAnsi="Times New Roman" w:eastAsia="仿宋_GB2312" w:cs="Times New Roman"/>
          <w:b w:val="0"/>
          <w:bCs w:val="0"/>
          <w:sz w:val="32"/>
          <w:szCs w:val="32"/>
          <w:lang w:val="en-US" w:eastAsia="zh-CN"/>
        </w:rPr>
        <w:t>4.23亿</w:t>
      </w:r>
      <w:r>
        <w:rPr>
          <w:rFonts w:hint="default" w:ascii="Times New Roman" w:hAnsi="Times New Roman" w:eastAsia="仿宋_GB2312" w:cs="Times New Roman"/>
          <w:b w:val="0"/>
          <w:bCs w:val="0"/>
          <w:sz w:val="32"/>
          <w:szCs w:val="32"/>
        </w:rPr>
        <w:t>元。</w:t>
      </w:r>
    </w:p>
    <w:p w14:paraId="7CA41B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B1宿舍楼已竣工。B2宿舍楼主体结构已完成，外墙漆已完成97%，内墙漆已完成95%，水电消防安装完成98%，总工程量已经完成95%。B3宿舍楼已完成主体结构施工、外墙漆施工，屋面防水层施工，8—15层地板砖铺设已完成。目前正在进行消防工程、2—7层地面砖铺贴，内墙漆涂刷、门窗安装、一层餐厅施工。</w:t>
      </w:r>
    </w:p>
    <w:p w14:paraId="0F7F1227">
      <w:pPr>
        <w:ind w:firstLine="643" w:firstLineChars="200"/>
        <w:rPr>
          <w:rFonts w:hint="eastAsia" w:eastAsiaTheme="minorEastAsia"/>
          <w:lang w:val="en-US" w:eastAsia="zh-CN"/>
        </w:rPr>
      </w:pPr>
      <w:r>
        <w:rPr>
          <w:rFonts w:hint="eastAsia" w:ascii="仿宋_GB2312" w:eastAsia="仿宋_GB2312"/>
          <w:b/>
          <w:bCs/>
          <w:sz w:val="32"/>
          <w:szCs w:val="32"/>
        </w:rPr>
        <w:t>项目实施情况及运营情况：</w:t>
      </w:r>
      <w:r>
        <w:rPr>
          <w:rFonts w:ascii="仿宋_GB2312" w:eastAsia="仿宋_GB2312"/>
          <w:b/>
          <w:bCs/>
          <w:sz w:val="32"/>
          <w:szCs w:val="32"/>
        </w:rPr>
        <w:t xml:space="preserve"> </w:t>
      </w:r>
      <w:r>
        <w:rPr>
          <w:rFonts w:hint="eastAsia" w:ascii="Times New Roman" w:hAnsi="Times New Roman" w:eastAsia="仿宋_GB2312" w:cs="Times New Roman"/>
          <w:b w:val="0"/>
          <w:bCs w:val="0"/>
          <w:sz w:val="32"/>
          <w:szCs w:val="32"/>
        </w:rPr>
        <w:t>工业用地（</w:t>
      </w:r>
      <w:r>
        <w:rPr>
          <w:rFonts w:hint="default" w:ascii="Times New Roman" w:hAnsi="Times New Roman" w:eastAsia="仿宋_GB2312" w:cs="Times New Roman"/>
          <w:b w:val="0"/>
          <w:bCs w:val="0"/>
          <w:sz w:val="32"/>
          <w:szCs w:val="32"/>
        </w:rPr>
        <w:t>208.51亩）即A、B区：已办理完成该区的立项、环评、建设用地规划许可证，2023年10月份完成土地挂牌，2023年12月份由高发集团下属公司中豫新能源（信阳）分公司竞得</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已经办理《用地不动产权证》。尚需要办理工程招投标手续、建设工程规划许可证、建设工程施工许可证。园区</w:t>
      </w:r>
      <w:r>
        <w:rPr>
          <w:rFonts w:hint="eastAsia" w:ascii="Times New Roman" w:hAnsi="Times New Roman" w:eastAsia="仿宋_GB2312" w:cs="Times New Roman"/>
          <w:b w:val="0"/>
          <w:bCs w:val="0"/>
          <w:sz w:val="32"/>
          <w:szCs w:val="32"/>
        </w:rPr>
        <w:t>A</w:t>
      </w:r>
      <w:r>
        <w:rPr>
          <w:rFonts w:hint="default" w:ascii="Times New Roman" w:hAnsi="Times New Roman" w:eastAsia="仿宋_GB2312" w:cs="Times New Roman"/>
          <w:b w:val="0"/>
          <w:bCs w:val="0"/>
          <w:sz w:val="32"/>
          <w:szCs w:val="32"/>
        </w:rPr>
        <w:t>5</w:t>
      </w:r>
      <w:r>
        <w:rPr>
          <w:rFonts w:hint="eastAsia" w:ascii="Times New Roman" w:hAnsi="Times New Roman" w:eastAsia="仿宋_GB2312" w:cs="Times New Roman"/>
          <w:b w:val="0"/>
          <w:bCs w:val="0"/>
          <w:sz w:val="32"/>
          <w:szCs w:val="32"/>
        </w:rPr>
        <w:t>厂房已建成，入驻企业是信阳中部半导体技术有限公司。</w:t>
      </w:r>
      <w:bookmarkStart w:id="0" w:name="_GoBack"/>
      <w:bookmarkEnd w:id="0"/>
    </w:p>
    <w:sectPr>
      <w:footerReference r:id="rId3" w:type="default"/>
      <w:pgSz w:w="11906" w:h="16838"/>
      <w:pgMar w:top="1984" w:right="1531" w:bottom="1814" w:left="1531"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03FA74-1C9A-4746-92EE-3DA127B37D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D7E2973-F937-4766-876E-69B724D626FB}"/>
  </w:font>
  <w:font w:name="方正楷体_GBK">
    <w:panose1 w:val="02000000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AA909428-6987-4302-B648-5B30E32655B6}"/>
  </w:font>
  <w:font w:name="方正仿宋_GBK">
    <w:panose1 w:val="02000000000000000000"/>
    <w:charset w:val="86"/>
    <w:family w:val="auto"/>
    <w:pitch w:val="default"/>
    <w:sig w:usb0="00000001" w:usb1="080E0000" w:usb2="00000000" w:usb3="00000000" w:csb0="00040000" w:csb1="00000000"/>
    <w:embedRegular r:id="rId4" w:fontKey="{1ACF3F62-63DD-4C84-B842-4488791997E7}"/>
  </w:font>
  <w:font w:name="方正小标宋简体">
    <w:panose1 w:val="02000000000000000000"/>
    <w:charset w:val="86"/>
    <w:family w:val="script"/>
    <w:pitch w:val="default"/>
    <w:sig w:usb0="00000001" w:usb1="080E0000" w:usb2="00000000" w:usb3="00000000" w:csb0="00040000" w:csb1="00000000"/>
    <w:embedRegular r:id="rId5" w:fontKey="{4951A96D-B0DA-44FB-A32C-F16FF175CDA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133227"/>
      <w:docPartObj>
        <w:docPartGallery w:val="autotext"/>
      </w:docPartObj>
    </w:sdtPr>
    <w:sdtEndPr>
      <w:rPr>
        <w:rFonts w:asciiTheme="minorEastAsia" w:hAnsiTheme="minorEastAsia"/>
        <w:sz w:val="28"/>
        <w:szCs w:val="28"/>
      </w:rPr>
    </w:sdtEndPr>
    <w:sdtContent>
      <w:p w14:paraId="32645F27">
        <w:pPr>
          <w:pStyle w:val="5"/>
          <w:jc w:val="right"/>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6 -</w:t>
        </w:r>
        <w:r>
          <w:rPr>
            <w:rFonts w:asciiTheme="minorEastAsia" w:hAnsiTheme="minorEastAsia"/>
            <w:sz w:val="28"/>
            <w:szCs w:val="28"/>
          </w:rPr>
          <w:fldChar w:fldCharType="end"/>
        </w:r>
      </w:p>
    </w:sdtContent>
  </w:sdt>
  <w:p w14:paraId="17931830">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YjIxOTYyOTRjMWYxZjI5YmVlMjc3OWMyYTgwZmQifQ=="/>
  </w:docVars>
  <w:rsids>
    <w:rsidRoot w:val="3DED0C06"/>
    <w:rsid w:val="3DED0C06"/>
    <w:rsid w:val="686B172F"/>
    <w:rsid w:val="71B34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hAnsi="宋体" w:eastAsia="宋体" w:cs="宋体"/>
      <w:b/>
      <w:kern w:val="44"/>
      <w:sz w:val="48"/>
      <w:szCs w:val="4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Body Text 2"/>
    <w:basedOn w:val="1"/>
    <w:qFormat/>
    <w:uiPriority w:val="99"/>
    <w:pPr>
      <w:spacing w:after="120" w:line="480" w:lineRule="auto"/>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w:basedOn w:val="3"/>
    <w:qFormat/>
    <w:uiPriority w:val="0"/>
    <w:pPr>
      <w:ind w:firstLine="420" w:firstLineChars="1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3732</Words>
  <Characters>4002</Characters>
  <Lines>0</Lines>
  <Paragraphs>0</Paragraphs>
  <TotalTime>17</TotalTime>
  <ScaleCrop>false</ScaleCrop>
  <LinksUpToDate>false</LinksUpToDate>
  <CharactersWithSpaces>4005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2026-05-29T07:44:00Z</dcterms:created>
  <dc:creator>阵雨小雨</dc:creator>
  <cp:lastModifiedBy>U3U</cp:lastModifiedBy>
  <dcterms:modified xsi:type="dcterms:W3CDTF">2026-05-29T09:23:01Z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6DB7CE8CC01B47FABEEF23B091BF7A6C_13</vt:lpwstr>
  </property>
  <property fmtid="{D5CDD505-2E9C-101B-9397-08002B2CF9AE}" pid="4" name="KSOTemplateDocerSaveRecord">
    <vt:lpwstr>eyJoZGlkIjoiNTVhOGE4MzY5ZjA5OTVkYzY1OWYxYTllYjU5NWRjOTYiLCJ1c2VySWQiOiIyNDU0MDY4MTkifQ==</vt:lpwstr>
  </property>
</Properties>
</file>