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6D684">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color w:val="auto"/>
        </w:rPr>
      </w:pPr>
    </w:p>
    <w:p w14:paraId="094ECD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pPr>
      <w:bookmarkStart w:id="0" w:name="_GoBack"/>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rPr>
        <w:t>信阳市规范涉企行政检查办法</w:t>
      </w:r>
    </w:p>
    <w:bookmarkEnd w:id="0"/>
    <w:p w14:paraId="6C38C9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i w:val="0"/>
          <w:iCs w:val="0"/>
          <w:caps w:val="0"/>
          <w:color w:val="auto"/>
          <w:spacing w:val="0"/>
          <w:kern w:val="0"/>
          <w:sz w:val="32"/>
          <w:szCs w:val="32"/>
          <w:shd w:val="clear" w:color="auto" w:fill="FFFFFF"/>
        </w:rPr>
      </w:pPr>
    </w:p>
    <w:p w14:paraId="13A635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i w:val="0"/>
          <w:iCs w:val="0"/>
          <w:caps w:val="0"/>
          <w:color w:val="auto"/>
          <w:spacing w:val="0"/>
          <w:kern w:val="0"/>
          <w:sz w:val="32"/>
          <w:szCs w:val="32"/>
          <w:shd w:val="clear" w:color="auto" w:fill="FFFFFF"/>
        </w:rPr>
        <w:t>第一章</w:t>
      </w: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 xml:space="preserve">  </w:t>
      </w:r>
      <w:r>
        <w:rPr>
          <w:rFonts w:hint="default" w:ascii="Times New Roman" w:hAnsi="Times New Roman" w:eastAsia="黑体" w:cs="Times New Roman"/>
          <w:i w:val="0"/>
          <w:iCs w:val="0"/>
          <w:caps w:val="0"/>
          <w:color w:val="auto"/>
          <w:spacing w:val="0"/>
          <w:kern w:val="0"/>
          <w:sz w:val="32"/>
          <w:szCs w:val="32"/>
          <w:shd w:val="clear" w:color="auto" w:fill="FFFFFF"/>
        </w:rPr>
        <w:t>总则</w:t>
      </w:r>
    </w:p>
    <w:p w14:paraId="2ED97D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p>
    <w:p w14:paraId="30667C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第一条</w:t>
      </w:r>
      <w:r>
        <w:rPr>
          <w:rFonts w:hint="default" w:ascii="Times New Roman" w:hAnsi="Times New Roman" w:eastAsia="仿宋_GB2312" w:cs="Times New Roman"/>
          <w:color w:val="auto"/>
          <w:kern w:val="0"/>
          <w:sz w:val="32"/>
          <w:szCs w:val="32"/>
          <w:lang w:val="en-US" w:eastAsia="zh-CN"/>
        </w:rPr>
        <w:t xml:space="preserve">  为了</w:t>
      </w:r>
      <w:r>
        <w:rPr>
          <w:rFonts w:hint="default" w:ascii="Times New Roman" w:hAnsi="Times New Roman" w:eastAsia="仿宋_GB2312" w:cs="Times New Roman"/>
          <w:color w:val="auto"/>
          <w:kern w:val="0"/>
          <w:sz w:val="32"/>
          <w:szCs w:val="32"/>
        </w:rPr>
        <w:t>规范涉企行政检查，保护各类经营主体合法权益，推进严格规范公正文明执法，进一步优化营商环境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根据《优化营商环境条例》、《行政执法监督条例》、《河南省优化营商环境条例》等法律、法规，结合本市实际，制定本办法。</w:t>
      </w:r>
    </w:p>
    <w:p w14:paraId="54725E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第二条</w:t>
      </w:r>
      <w:r>
        <w:rPr>
          <w:rFonts w:hint="default" w:ascii="Times New Roman" w:hAnsi="Times New Roman" w:eastAsia="仿宋_GB2312" w:cs="Times New Roman"/>
          <w:color w:val="auto"/>
          <w:kern w:val="0"/>
          <w:sz w:val="32"/>
          <w:szCs w:val="32"/>
          <w:lang w:val="en-US" w:eastAsia="zh-CN"/>
        </w:rPr>
        <w:t xml:space="preserve">  本办法所称涉企行政检查，是</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auto"/>
          <w:kern w:val="0"/>
          <w:sz w:val="32"/>
          <w:szCs w:val="32"/>
          <w:lang w:val="en-US" w:eastAsia="zh-CN"/>
        </w:rPr>
        <w:t>行政执法主体为履行行政管理职责，对企业遵守法律、法规、规章，执行行政决定、命令的情况进行巡查、核验的行政行为。</w:t>
      </w:r>
    </w:p>
    <w:p w14:paraId="1E27EC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行政执法机关基于内部隶属关系、国有资产监督管理关系对企业进行的督促检查，不属于涉企行政检查。</w:t>
      </w:r>
    </w:p>
    <w:p w14:paraId="2EE632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第三条</w:t>
      </w:r>
      <w:r>
        <w:rPr>
          <w:rFonts w:hint="default" w:ascii="Times New Roman" w:hAnsi="Times New Roman" w:eastAsia="仿宋_GB2312" w:cs="Times New Roman"/>
          <w:color w:val="auto"/>
          <w:kern w:val="0"/>
          <w:sz w:val="32"/>
          <w:szCs w:val="32"/>
          <w:lang w:val="en-US" w:eastAsia="zh-CN"/>
        </w:rPr>
        <w:t xml:space="preserve">  本市行政区域内的涉企行政检查及其监督管理活动，适用本办法。</w:t>
      </w:r>
    </w:p>
    <w:p w14:paraId="4765B2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法律、法规对涉企行政检查另有规定的，从其规定。</w:t>
      </w:r>
    </w:p>
    <w:p w14:paraId="4CF544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第四条</w:t>
      </w:r>
      <w:r>
        <w:rPr>
          <w:rFonts w:hint="default" w:ascii="Times New Roman" w:hAnsi="Times New Roman" w:eastAsia="仿宋_GB2312" w:cs="Times New Roman"/>
          <w:color w:val="auto"/>
          <w:kern w:val="0"/>
          <w:sz w:val="32"/>
          <w:szCs w:val="32"/>
          <w:lang w:val="en-US" w:eastAsia="zh-CN"/>
        </w:rPr>
        <w:t xml:space="preserve">  涉企行政检查包括日常检查、个案检查和专项检查。</w:t>
      </w:r>
    </w:p>
    <w:p w14:paraId="43A52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日常检查是指行政执法主体依据法律规范的要求，对不特定检查对象或者不特定事项实施的检查。</w:t>
      </w:r>
    </w:p>
    <w:p w14:paraId="01897B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个案检查是指根据投诉举报、转办交办、数据监测、企业申请等实施的检查，实际是有线索可查的检查。</w:t>
      </w:r>
    </w:p>
    <w:p w14:paraId="43C1F7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专项检查是指针对某一地区、领域的突出问题，履行批准、备案、公布程序，部署本地区或者本系统行政执法主体实施的检查。</w:t>
      </w:r>
    </w:p>
    <w:p w14:paraId="6DDE371A">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第五条</w:t>
      </w:r>
      <w:r>
        <w:rPr>
          <w:rFonts w:hint="default" w:ascii="Times New Roman" w:hAnsi="Times New Roman" w:eastAsia="仿宋_GB2312" w:cs="Times New Roman"/>
          <w:color w:val="auto"/>
          <w:kern w:val="0"/>
          <w:sz w:val="32"/>
          <w:szCs w:val="32"/>
          <w:lang w:val="en-US" w:eastAsia="zh-CN" w:bidi="ar-SA"/>
        </w:rPr>
        <w:t xml:space="preserve">  涉企行政检查应当遵循职权法定、严格规范、公正文明、精准高效、包容审慎的原则，统筹兼顾发展和安全，尽可能减少对经营主体正常生产经营活动的影响。</w:t>
      </w:r>
    </w:p>
    <w:p w14:paraId="18958AA7">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第六条</w:t>
      </w:r>
      <w:r>
        <w:rPr>
          <w:rFonts w:hint="default" w:ascii="Times New Roman" w:hAnsi="Times New Roman" w:eastAsia="仿宋_GB2312" w:cs="Times New Roman"/>
          <w:color w:val="auto"/>
          <w:kern w:val="0"/>
          <w:sz w:val="32"/>
          <w:szCs w:val="32"/>
          <w:lang w:val="en-US" w:eastAsia="zh-CN" w:bidi="ar-SA"/>
        </w:rPr>
        <w:t xml:space="preserve">  市、县、区人民政府统一领导本行政区域的涉企行政检查工作，研究解决涉企行政检查重大问题，加强涉企行政检查工作保障。</w:t>
      </w:r>
    </w:p>
    <w:p w14:paraId="22ACECB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市、县、区司法行政部门作为本级人民政府行政执法监督机构，代表本级人民政府负责对涉企行政检查主体、实施等进行统筹协调和监督指导。</w:t>
      </w:r>
    </w:p>
    <w:p w14:paraId="6F86038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市级行政执法主体负责本行业领域涉企行政检查的统筹管理；市、县、区行政执法主体依照法定权限和程序履行涉企行政检查职责。</w:t>
      </w:r>
    </w:p>
    <w:p w14:paraId="121A12B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乡镇人民政府、街道办事处在法律、法规、规章规定和依法承接的行政执法事项范围内，实施涉企行政检查。</w:t>
      </w:r>
    </w:p>
    <w:p w14:paraId="4B64C3C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14:paraId="04797F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第二章  实施组织</w:t>
      </w:r>
    </w:p>
    <w:p w14:paraId="2408A6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2AE79C6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第七条</w:t>
      </w:r>
      <w:r>
        <w:rPr>
          <w:rFonts w:hint="default" w:ascii="Times New Roman" w:hAnsi="Times New Roman" w:eastAsia="仿宋_GB2312" w:cs="Times New Roman"/>
          <w:color w:val="auto"/>
          <w:kern w:val="0"/>
          <w:sz w:val="32"/>
          <w:szCs w:val="32"/>
          <w:lang w:val="en-US" w:eastAsia="zh-CN" w:bidi="ar-SA"/>
        </w:rPr>
        <w:t xml:space="preserve">  经依法确认并向社会公告的行政执法主体应当在法定职责或授权范围内实施涉企行政检查；受委托组织应当在委托权限范围内实施涉企行政检查。除上述主体外，任何组织和个人不得实施行政检查。</w:t>
      </w:r>
    </w:p>
    <w:p w14:paraId="2A297F1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行政执法主体根据工作需要，可以邀请检验检测机构、科研院所、行业专家等第三方对涉企行政检查予以协助，提供专业参考意见。但第三方不得单独开展行政检查，不得单独向行政相对人出具意见或者建议。</w:t>
      </w:r>
    </w:p>
    <w:p w14:paraId="115603D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第八条</w:t>
      </w:r>
      <w:r>
        <w:rPr>
          <w:rFonts w:hint="default" w:ascii="Times New Roman" w:hAnsi="Times New Roman" w:eastAsia="仿宋_GB2312" w:cs="Times New Roman"/>
          <w:color w:val="auto"/>
          <w:kern w:val="0"/>
          <w:sz w:val="32"/>
          <w:szCs w:val="32"/>
          <w:lang w:val="en-US" w:eastAsia="zh-CN" w:bidi="ar-SA"/>
        </w:rPr>
        <w:t xml:space="preserve">  行政检查事项实行清单管理制度。除法律、行政法规和国务院的决定、命令规定不实行清单管理的以外，行政执法机关应当按照要求制定涉企行政检查事项清单，逐项列明事项名称、检查依据、实施层级等基本要素。行政检查事项清单应当向社会公布并实行动态管理。</w:t>
      </w:r>
    </w:p>
    <w:p w14:paraId="116F105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第九条</w:t>
      </w:r>
      <w:r>
        <w:rPr>
          <w:rFonts w:hint="default" w:ascii="Times New Roman" w:hAnsi="Times New Roman" w:eastAsia="仿宋_GB2312" w:cs="Times New Roman"/>
          <w:color w:val="auto"/>
          <w:kern w:val="0"/>
          <w:sz w:val="32"/>
          <w:szCs w:val="32"/>
          <w:lang w:val="en-US" w:eastAsia="zh-CN" w:bidi="ar-SA"/>
        </w:rPr>
        <w:t xml:space="preserve">  涉企行政检查实行计划管理制度。市、县、区行政执法主体应当制定本部门年度涉企行政日常检查计划，合理设定对同一企业年度检查频次上限，每年3月31日前向社会公布，同步报同级司法行政部门备案。</w:t>
      </w:r>
    </w:p>
    <w:p w14:paraId="4819287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专项检查应当符合监管的客观需要，经评估确需开展的，应当制定计划并严格控制检查范围、内容和时限，经本级人民政府或者实行垂直管理的上一级行政机关批准后，报同级司法行政部门备案并向社会公布。执行上级部署的专项检查，不再重复履行本级批准、备案程序。</w:t>
      </w:r>
    </w:p>
    <w:p w14:paraId="40FD940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个案检查不受年度计划制定公布和年度检查频次上限限制，但不得明显超过合理频次。</w:t>
      </w:r>
    </w:p>
    <w:p w14:paraId="1E46345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第十条</w:t>
      </w:r>
      <w:r>
        <w:rPr>
          <w:rFonts w:hint="default" w:ascii="Times New Roman" w:hAnsi="Times New Roman" w:eastAsia="仿宋_GB2312" w:cs="Times New Roman"/>
          <w:color w:val="auto"/>
          <w:kern w:val="0"/>
          <w:sz w:val="32"/>
          <w:szCs w:val="32"/>
          <w:lang w:val="en-US" w:eastAsia="zh-CN" w:bidi="ar-SA"/>
        </w:rPr>
        <w:t xml:space="preserve">  推行“综合查一次”制度。</w:t>
      </w:r>
      <w:r>
        <w:rPr>
          <w:rFonts w:hint="default" w:ascii="Times New Roman" w:hAnsi="Times New Roman" w:eastAsia="仿宋_GB2312" w:cs="Times New Roman"/>
          <w:color w:val="auto"/>
          <w:kern w:val="0"/>
          <w:sz w:val="32"/>
          <w:szCs w:val="32"/>
        </w:rPr>
        <w:t>同一行政执法机关在一定期限内对同一检查对象实施多项检查的，原则上应当合并进行。</w:t>
      </w:r>
    </w:p>
    <w:p w14:paraId="0D5148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不同行政执法机关在一定期限内对同一检查对象实施多项检查，并且检查内容可以合并完成的，可以组织联合检查。</w:t>
      </w:r>
    </w:p>
    <w:p w14:paraId="79E946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同一行政执法系统在一定期限内对同一检查对象实施多层级检查的，可以由上级行政执法机关统筹确定</w:t>
      </w:r>
      <w:r>
        <w:rPr>
          <w:rFonts w:hint="default" w:ascii="Times New Roman" w:hAnsi="Times New Roman" w:eastAsia="仿宋_GB2312" w:cs="Times New Roman"/>
          <w:color w:val="auto"/>
          <w:kern w:val="0"/>
          <w:sz w:val="32"/>
          <w:szCs w:val="32"/>
          <w:lang w:eastAsia="zh-CN"/>
        </w:rPr>
        <w:t>单一</w:t>
      </w:r>
      <w:r>
        <w:rPr>
          <w:rFonts w:hint="default" w:ascii="Times New Roman" w:hAnsi="Times New Roman" w:eastAsia="仿宋_GB2312" w:cs="Times New Roman"/>
          <w:color w:val="auto"/>
          <w:kern w:val="0"/>
          <w:sz w:val="32"/>
          <w:szCs w:val="32"/>
        </w:rPr>
        <w:t>层级</w:t>
      </w:r>
      <w:r>
        <w:rPr>
          <w:rFonts w:hint="default" w:ascii="Times New Roman" w:hAnsi="Times New Roman" w:eastAsia="仿宋_GB2312" w:cs="Times New Roman"/>
          <w:color w:val="auto"/>
          <w:kern w:val="0"/>
          <w:sz w:val="32"/>
          <w:szCs w:val="32"/>
          <w:lang w:eastAsia="zh-CN"/>
        </w:rPr>
        <w:t>统一</w:t>
      </w:r>
      <w:r>
        <w:rPr>
          <w:rFonts w:hint="default" w:ascii="Times New Roman" w:hAnsi="Times New Roman" w:eastAsia="仿宋_GB2312" w:cs="Times New Roman"/>
          <w:color w:val="auto"/>
          <w:kern w:val="0"/>
          <w:sz w:val="32"/>
          <w:szCs w:val="32"/>
        </w:rPr>
        <w:t>实施。</w:t>
      </w:r>
    </w:p>
    <w:p w14:paraId="2166768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第十一条</w:t>
      </w:r>
      <w:r>
        <w:rPr>
          <w:rFonts w:hint="default" w:ascii="Times New Roman" w:hAnsi="Times New Roman"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rPr>
        <w:t>市、县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区人民政府应当以行政检查事项清单为基础，编制并公布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综合查一次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联合检查</w:t>
      </w:r>
      <w:r>
        <w:rPr>
          <w:rFonts w:hint="default" w:ascii="Times New Roman" w:hAnsi="Times New Roman" w:eastAsia="仿宋_GB2312" w:cs="Times New Roman"/>
          <w:color w:val="auto"/>
          <w:kern w:val="0"/>
          <w:sz w:val="32"/>
          <w:szCs w:val="32"/>
          <w:lang w:val="en-US" w:eastAsia="zh-CN"/>
        </w:rPr>
        <w:t>任务</w:t>
      </w:r>
      <w:r>
        <w:rPr>
          <w:rFonts w:hint="default" w:ascii="Times New Roman" w:hAnsi="Times New Roman" w:eastAsia="仿宋_GB2312" w:cs="Times New Roman"/>
          <w:color w:val="auto"/>
          <w:kern w:val="0"/>
          <w:sz w:val="32"/>
          <w:szCs w:val="32"/>
        </w:rPr>
        <w:t>清单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纳入</w:t>
      </w:r>
      <w:r>
        <w:rPr>
          <w:rFonts w:hint="default" w:ascii="Times New Roman" w:hAnsi="Times New Roman" w:eastAsia="仿宋_GB2312" w:cs="Times New Roman"/>
          <w:color w:val="auto"/>
          <w:kern w:val="0"/>
          <w:sz w:val="32"/>
          <w:szCs w:val="32"/>
          <w:lang w:val="en-US" w:eastAsia="zh-CN"/>
        </w:rPr>
        <w:t>任务</w:t>
      </w:r>
      <w:r>
        <w:rPr>
          <w:rFonts w:hint="default" w:ascii="Times New Roman" w:hAnsi="Times New Roman" w:eastAsia="仿宋_GB2312" w:cs="Times New Roman"/>
          <w:color w:val="auto"/>
          <w:kern w:val="0"/>
          <w:sz w:val="32"/>
          <w:szCs w:val="32"/>
        </w:rPr>
        <w:t>清单的检查事项应当</w:t>
      </w:r>
      <w:r>
        <w:rPr>
          <w:rFonts w:hint="default" w:ascii="Times New Roman" w:hAnsi="Times New Roman" w:eastAsia="仿宋_GB2312" w:cs="Times New Roman"/>
          <w:color w:val="auto"/>
          <w:kern w:val="0"/>
          <w:sz w:val="32"/>
          <w:szCs w:val="32"/>
          <w:lang w:val="en-US" w:eastAsia="zh-CN"/>
        </w:rPr>
        <w:t>实施“综合查一次”</w:t>
      </w:r>
      <w:r>
        <w:rPr>
          <w:rFonts w:hint="default" w:ascii="Times New Roman" w:hAnsi="Times New Roman" w:eastAsia="仿宋_GB2312" w:cs="Times New Roman"/>
          <w:color w:val="auto"/>
          <w:kern w:val="0"/>
          <w:sz w:val="32"/>
          <w:szCs w:val="32"/>
        </w:rPr>
        <w:t>。</w:t>
      </w:r>
    </w:p>
    <w:p w14:paraId="3D91FEA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司法行政部门具体负责联合检查任务清单的梳理编制工作并监督实施。</w:t>
      </w:r>
    </w:p>
    <w:p w14:paraId="650465CF">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第十二条</w:t>
      </w:r>
      <w:r>
        <w:rPr>
          <w:rFonts w:hint="default" w:ascii="Times New Roman" w:hAnsi="Times New Roman" w:eastAsia="仿宋_GB2312" w:cs="Times New Roman"/>
          <w:color w:val="auto"/>
          <w:kern w:val="0"/>
          <w:sz w:val="32"/>
          <w:szCs w:val="32"/>
          <w:lang w:val="en-US" w:eastAsia="zh-CN" w:bidi="ar-SA"/>
        </w:rPr>
        <w:t xml:space="preserve">  市、县、区行政执法机关可以以行政检查事项清单为基础，梳理归并简单事项，统一制定综合检查表单。纳入综合检查表单的简单事项，应当由一个部门或者多个部门的一组执法人员实施“一表通查”。</w:t>
      </w:r>
    </w:p>
    <w:p w14:paraId="6C7D784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第十三条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推行“双随机、一公开”监管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除直接涉及国家安全、公共安全和人民群众生命健康等特殊行业、重点领域外，</w:t>
      </w:r>
      <w:r>
        <w:rPr>
          <w:rFonts w:hint="default" w:ascii="Times New Roman" w:hAnsi="Times New Roman" w:eastAsia="仿宋_GB2312" w:cs="Times New Roman"/>
          <w:color w:val="auto"/>
          <w:kern w:val="0"/>
          <w:sz w:val="32"/>
          <w:szCs w:val="32"/>
          <w:lang w:eastAsia="zh-CN"/>
        </w:rPr>
        <w:t>各</w:t>
      </w:r>
      <w:r>
        <w:rPr>
          <w:rFonts w:hint="default" w:ascii="Times New Roman" w:hAnsi="Times New Roman" w:eastAsia="仿宋_GB2312" w:cs="Times New Roman"/>
          <w:color w:val="auto"/>
          <w:kern w:val="0"/>
          <w:sz w:val="32"/>
          <w:szCs w:val="32"/>
        </w:rPr>
        <w:t>领域的</w:t>
      </w:r>
      <w:r>
        <w:rPr>
          <w:rFonts w:hint="default" w:ascii="Times New Roman" w:hAnsi="Times New Roman" w:eastAsia="仿宋_GB2312" w:cs="Times New Roman"/>
          <w:color w:val="auto"/>
          <w:kern w:val="0"/>
          <w:sz w:val="32"/>
          <w:szCs w:val="32"/>
          <w:lang w:eastAsia="zh-CN"/>
        </w:rPr>
        <w:t>涉企</w:t>
      </w:r>
      <w:r>
        <w:rPr>
          <w:rFonts w:hint="default" w:ascii="Times New Roman" w:hAnsi="Times New Roman" w:eastAsia="仿宋_GB2312" w:cs="Times New Roman"/>
          <w:color w:val="auto"/>
          <w:kern w:val="0"/>
          <w:sz w:val="32"/>
          <w:szCs w:val="32"/>
        </w:rPr>
        <w:t>行政检查应当通过随机抽取检查对象、随机选派执法检查人员、抽查事项及查处结果及时向社会公开的方式进行。</w:t>
      </w:r>
    </w:p>
    <w:p w14:paraId="4FFB8B1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第十四条</w:t>
      </w:r>
      <w:r>
        <w:rPr>
          <w:rFonts w:hint="default" w:ascii="Times New Roman" w:hAnsi="Times New Roman" w:eastAsia="仿宋_GB2312" w:cs="Times New Roman"/>
          <w:color w:val="auto"/>
          <w:kern w:val="0"/>
          <w:sz w:val="32"/>
          <w:szCs w:val="32"/>
          <w:lang w:val="en-US" w:eastAsia="zh-CN"/>
        </w:rPr>
        <w:t xml:space="preserve">  推行</w:t>
      </w:r>
      <w:r>
        <w:rPr>
          <w:rFonts w:hint="default" w:ascii="Times New Roman" w:hAnsi="Times New Roman" w:eastAsia="仿宋_GB2312" w:cs="Times New Roman"/>
          <w:color w:val="auto"/>
          <w:kern w:val="0"/>
          <w:sz w:val="32"/>
          <w:szCs w:val="32"/>
        </w:rPr>
        <w:t>分级分类</w:t>
      </w:r>
      <w:r>
        <w:rPr>
          <w:rFonts w:hint="default" w:ascii="Times New Roman" w:hAnsi="Times New Roman" w:eastAsia="仿宋_GB2312" w:cs="Times New Roman"/>
          <w:color w:val="auto"/>
          <w:kern w:val="0"/>
          <w:sz w:val="32"/>
          <w:szCs w:val="32"/>
          <w:lang w:eastAsia="zh-CN"/>
        </w:rPr>
        <w:t>涉企</w:t>
      </w:r>
      <w:r>
        <w:rPr>
          <w:rFonts w:hint="default" w:ascii="Times New Roman" w:hAnsi="Times New Roman" w:eastAsia="仿宋_GB2312" w:cs="Times New Roman"/>
          <w:color w:val="auto"/>
          <w:kern w:val="0"/>
          <w:sz w:val="32"/>
          <w:szCs w:val="32"/>
        </w:rPr>
        <w:t>行政检查制度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行政执法主体在</w:t>
      </w:r>
      <w:r>
        <w:rPr>
          <w:rFonts w:hint="default" w:ascii="Times New Roman" w:hAnsi="Times New Roman" w:eastAsia="仿宋_GB2312" w:cs="Times New Roman"/>
          <w:color w:val="auto"/>
          <w:kern w:val="0"/>
          <w:sz w:val="32"/>
          <w:szCs w:val="32"/>
        </w:rPr>
        <w:t>本行政执法领域</w:t>
      </w:r>
      <w:r>
        <w:rPr>
          <w:rFonts w:hint="default" w:ascii="Times New Roman" w:hAnsi="Times New Roman" w:eastAsia="仿宋_GB2312" w:cs="Times New Roman"/>
          <w:color w:val="auto"/>
          <w:kern w:val="0"/>
          <w:sz w:val="32"/>
          <w:szCs w:val="32"/>
          <w:lang w:val="en-US" w:eastAsia="zh-CN"/>
        </w:rPr>
        <w:t>内，</w:t>
      </w:r>
      <w:r>
        <w:rPr>
          <w:rFonts w:hint="default" w:ascii="Times New Roman" w:hAnsi="Times New Roman" w:eastAsia="仿宋_GB2312" w:cs="Times New Roman"/>
          <w:color w:val="auto"/>
          <w:kern w:val="0"/>
          <w:sz w:val="32"/>
          <w:szCs w:val="32"/>
        </w:rPr>
        <w:t>根据信用等级和风险程度，对检查对象进行综合评价，分别确定行政检查比例、频次、层级和方式。</w:t>
      </w:r>
    </w:p>
    <w:p w14:paraId="29F13C0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第十五条</w:t>
      </w:r>
      <w:r>
        <w:rPr>
          <w:rFonts w:hint="default" w:ascii="Times New Roman" w:hAnsi="Times New Roman" w:eastAsia="仿宋_GB2312" w:cs="Times New Roman"/>
          <w:color w:val="auto"/>
          <w:kern w:val="0"/>
          <w:sz w:val="32"/>
          <w:szCs w:val="32"/>
          <w:lang w:val="en-US" w:eastAsia="zh-CN"/>
        </w:rPr>
        <w:t xml:space="preserve">  鼓励开展非现场检查。非现场检查可以达到行政检查目的的，原则上不再入企现场检查。非现场检查包括：</w:t>
      </w:r>
    </w:p>
    <w:p w14:paraId="65CE7F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（一）书面报送材料核查；</w:t>
      </w:r>
    </w:p>
    <w:p w14:paraId="28011A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（二）网络巡查、在线监测、大数据分析；</w:t>
      </w:r>
    </w:p>
    <w:p w14:paraId="7D7F69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（三）视频监控、卫星遥感等设备感知；</w:t>
      </w:r>
    </w:p>
    <w:p w14:paraId="3B0311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（四）无人机、机器人巡查；</w:t>
      </w:r>
    </w:p>
    <w:p w14:paraId="729A35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（五）线上查阅、调取、复制电子信息等相关资料；</w:t>
      </w:r>
    </w:p>
    <w:p w14:paraId="77389E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（六）其他非现场的监管方式。</w:t>
      </w:r>
    </w:p>
    <w:p w14:paraId="2D6C6D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行政检查实施主体应当保证非现场检查收集信息的真实性、准确性，对相关信息需要进行核实的，可以采取电话询问、书面质询、约见谈话、现场查验等方式进行。</w:t>
      </w:r>
    </w:p>
    <w:p w14:paraId="60BB247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2F377C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第三章  实施程序</w:t>
      </w:r>
    </w:p>
    <w:p w14:paraId="06FFC0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0212922C">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第十六条</w:t>
      </w:r>
      <w:r>
        <w:rPr>
          <w:rFonts w:hint="default" w:ascii="Times New Roman" w:hAnsi="Times New Roman" w:eastAsia="仿宋_GB2312" w:cs="Times New Roman"/>
          <w:color w:val="auto"/>
          <w:kern w:val="0"/>
          <w:sz w:val="32"/>
          <w:szCs w:val="32"/>
          <w:lang w:val="en-US" w:eastAsia="zh-CN" w:bidi="ar-SA"/>
        </w:rPr>
        <w:t xml:space="preserve">  涉企行政检查应当由不少于两名具有行政执法资格的执法人员共同实施。开展联合检查的，应当严格控制入企检查人员数量，不得对企业正常生产经营造成不利影响。</w:t>
      </w:r>
    </w:p>
    <w:p w14:paraId="7B7FCDC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市级重大执法活动、跨区域执法以及交叉执法活动中，市级行政执法部门按照有关规定可以根据执法活动需要，跨区域、跨行业、跨层级调用执法人员。执法人员的行政执法资格在该项工作任务范围内互通互认。</w:t>
      </w:r>
    </w:p>
    <w:p w14:paraId="3C4436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第十七条</w:t>
      </w:r>
      <w:r>
        <w:rPr>
          <w:rFonts w:hint="default" w:ascii="Times New Roman" w:hAnsi="Times New Roman" w:eastAsia="仿宋_GB2312" w:cs="Times New Roman"/>
          <w:color w:val="auto"/>
          <w:kern w:val="0"/>
          <w:sz w:val="32"/>
          <w:szCs w:val="32"/>
          <w:lang w:val="en-US" w:eastAsia="zh-CN" w:bidi="ar-SA"/>
        </w:rPr>
        <w:t xml:space="preserve">  涉企行政检查遵循属地管辖原则，由企业所在地的行政执法主体负责实施检查。法律、法规另有规定的，从其规定。</w:t>
      </w:r>
    </w:p>
    <w:p w14:paraId="23944A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第十八条</w:t>
      </w:r>
      <w:r>
        <w:rPr>
          <w:rFonts w:hint="default" w:ascii="Times New Roman" w:hAnsi="Times New Roman" w:eastAsia="仿宋_GB2312" w:cs="Times New Roman"/>
          <w:color w:val="auto"/>
          <w:kern w:val="0"/>
          <w:sz w:val="32"/>
          <w:szCs w:val="32"/>
          <w:lang w:val="en-US" w:eastAsia="zh-CN" w:bidi="ar-SA"/>
        </w:rPr>
        <w:t xml:space="preserve">  实施涉企行政检查前，应当制定检查方案并报行政执法主体负责人批准，情况紧急、需要当场实施的，应当及时报告并补办手续。</w:t>
      </w:r>
    </w:p>
    <w:p w14:paraId="2962AF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第十九条</w:t>
      </w:r>
      <w:r>
        <w:rPr>
          <w:rFonts w:hint="default" w:ascii="Times New Roman" w:hAnsi="Times New Roman" w:eastAsia="仿宋_GB2312" w:cs="Times New Roman"/>
          <w:color w:val="auto"/>
          <w:kern w:val="0"/>
          <w:sz w:val="32"/>
          <w:szCs w:val="32"/>
          <w:lang w:val="en-US" w:eastAsia="zh-CN" w:bidi="ar-SA"/>
        </w:rPr>
        <w:t xml:space="preserve">  行政检查主体入企开展行政检查，应当落实“扫码入企”制度，按照</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SA"/>
        </w:rPr>
        <w:t>国家、省规定的“扫码入企”方式和程序实施，</w:t>
      </w:r>
      <w:r>
        <w:rPr>
          <w:rFonts w:hint="default" w:ascii="Times New Roman" w:hAnsi="Times New Roman" w:eastAsia="仿宋_GB2312" w:cs="Times New Roman"/>
          <w:color w:val="auto"/>
          <w:kern w:val="0"/>
          <w:sz w:val="32"/>
          <w:szCs w:val="32"/>
          <w:lang w:val="en-US" w:eastAsia="zh-CN" w:bidi="ar-SA"/>
        </w:rPr>
        <w:t>涉及国家秘密等不宜在网络上传数据的情形除外。</w:t>
      </w:r>
    </w:p>
    <w:p w14:paraId="2ED7FF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第二十条</w:t>
      </w:r>
      <w:r>
        <w:rPr>
          <w:rFonts w:hint="default" w:ascii="Times New Roman" w:hAnsi="Times New Roman" w:eastAsia="仿宋_GB2312" w:cs="Times New Roman"/>
          <w:color w:val="auto"/>
          <w:kern w:val="0"/>
          <w:sz w:val="32"/>
          <w:szCs w:val="32"/>
          <w:lang w:val="en-US" w:eastAsia="zh-CN" w:bidi="ar-SA"/>
        </w:rPr>
        <w:t xml:space="preserve">  行政执法</w:t>
      </w:r>
      <w:r>
        <w:rPr>
          <w:rFonts w:hint="eastAsia" w:ascii="Times New Roman" w:hAnsi="Times New Roman" w:eastAsia="仿宋_GB2312" w:cs="Times New Roman"/>
          <w:color w:val="auto"/>
          <w:kern w:val="0"/>
          <w:sz w:val="32"/>
          <w:szCs w:val="32"/>
          <w:lang w:val="en-US" w:eastAsia="zh-CN" w:bidi="ar-SA"/>
        </w:rPr>
        <w:t>人员</w:t>
      </w:r>
      <w:r>
        <w:rPr>
          <w:rFonts w:hint="default" w:ascii="Times New Roman" w:hAnsi="Times New Roman" w:eastAsia="仿宋_GB2312" w:cs="Times New Roman"/>
          <w:color w:val="auto"/>
          <w:kern w:val="0"/>
          <w:sz w:val="32"/>
          <w:szCs w:val="32"/>
          <w:lang w:val="en-US" w:eastAsia="zh-CN" w:bidi="ar-SA"/>
        </w:rPr>
        <w:t>入企实施现场检查，应当遵守下列规定：</w:t>
      </w:r>
    </w:p>
    <w:p w14:paraId="2B652D3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（一）主动出示执法证件、检查码（任务码）；</w:t>
      </w:r>
    </w:p>
    <w:p w14:paraId="2E29E8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二</w:t>
      </w:r>
      <w:r>
        <w:rPr>
          <w:rFonts w:hint="default" w:ascii="Times New Roman" w:hAnsi="Times New Roman" w:eastAsia="仿宋_GB2312" w:cs="Times New Roman"/>
          <w:color w:val="auto"/>
          <w:kern w:val="0"/>
          <w:sz w:val="32"/>
          <w:szCs w:val="32"/>
          <w:lang w:val="en-US" w:eastAsia="zh-CN" w:bidi="ar-SA"/>
        </w:rPr>
        <w:t>）出具行政检查通知书，说明行政检查事项、法律依据，当场告知企业依法享有的权利和应当承担的义务；</w:t>
      </w:r>
    </w:p>
    <w:p w14:paraId="140FAF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三</w:t>
      </w:r>
      <w:r>
        <w:rPr>
          <w:rFonts w:hint="default" w:ascii="Times New Roman" w:hAnsi="Times New Roman" w:eastAsia="仿宋_GB2312" w:cs="Times New Roman"/>
          <w:color w:val="auto"/>
          <w:kern w:val="0"/>
          <w:sz w:val="32"/>
          <w:szCs w:val="32"/>
          <w:lang w:val="en-US" w:eastAsia="zh-CN" w:bidi="ar-SA"/>
        </w:rPr>
        <w:t>）按照行政执法全过程记录制度的规定，记录检查情况；</w:t>
      </w:r>
    </w:p>
    <w:p w14:paraId="4E5540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四</w:t>
      </w:r>
      <w:r>
        <w:rPr>
          <w:rFonts w:hint="default" w:ascii="Times New Roman" w:hAnsi="Times New Roman" w:eastAsia="仿宋_GB2312" w:cs="Times New Roman"/>
          <w:color w:val="auto"/>
          <w:kern w:val="0"/>
          <w:sz w:val="32"/>
          <w:szCs w:val="32"/>
          <w:lang w:val="en-US" w:eastAsia="zh-CN" w:bidi="ar-SA"/>
        </w:rPr>
        <w:t>）行政检查结束后，将行政检查结果告知企业；</w:t>
      </w:r>
    </w:p>
    <w:p w14:paraId="01B5E6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五</w:t>
      </w:r>
      <w:r>
        <w:rPr>
          <w:rFonts w:hint="default" w:ascii="Times New Roman" w:hAnsi="Times New Roman" w:eastAsia="仿宋_GB2312" w:cs="Times New Roman"/>
          <w:color w:val="auto"/>
          <w:kern w:val="0"/>
          <w:sz w:val="32"/>
          <w:szCs w:val="32"/>
          <w:lang w:val="en-US" w:eastAsia="zh-CN" w:bidi="ar-SA"/>
        </w:rPr>
        <w:t>）法律、法规、规章规定的其他程序。</w:t>
      </w:r>
    </w:p>
    <w:p w14:paraId="5BE64A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第二十一条</w:t>
      </w:r>
      <w:r>
        <w:rPr>
          <w:rFonts w:hint="default" w:ascii="Times New Roman" w:hAnsi="Times New Roman" w:eastAsia="仿宋_GB2312" w:cs="Times New Roman"/>
          <w:color w:val="auto"/>
          <w:kern w:val="0"/>
          <w:sz w:val="32"/>
          <w:szCs w:val="32"/>
          <w:lang w:val="en-US" w:eastAsia="zh-CN" w:bidi="ar-SA"/>
        </w:rPr>
        <w:t xml:space="preserve">  行政执法主体根据现场核查情况，分别作出下列处理：</w:t>
      </w:r>
    </w:p>
    <w:p w14:paraId="541EA5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（一）未发现违法行为的，做好书面记录，终结本次检查任务；</w:t>
      </w:r>
    </w:p>
    <w:p w14:paraId="4A4E8E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（二）发现违法行为需要立即制止的，依法责令停止违法行为；</w:t>
      </w:r>
    </w:p>
    <w:p w14:paraId="7D51D1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（三）发现违法行为需要予以改正的，依法责令立即改正或者限期改正；</w:t>
      </w:r>
    </w:p>
    <w:p w14:paraId="52C629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（四）发现违法行为需要实施行政处罚、行政强制的，依法按照行政处罚、行政强制有关规定办理；</w:t>
      </w:r>
    </w:p>
    <w:p w14:paraId="2DD8CF4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（五）法律、法规、规章规定的其他处置方式。</w:t>
      </w:r>
    </w:p>
    <w:p w14:paraId="3C55F00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第二十</w:t>
      </w:r>
      <w:r>
        <w:rPr>
          <w:rFonts w:hint="eastAsia" w:ascii="Times New Roman" w:hAnsi="Times New Roman" w:eastAsia="仿宋_GB2312" w:cs="Times New Roman"/>
          <w:b/>
          <w:bCs/>
          <w:color w:val="auto"/>
          <w:kern w:val="0"/>
          <w:sz w:val="32"/>
          <w:szCs w:val="32"/>
          <w:lang w:val="en-US" w:eastAsia="zh-CN"/>
        </w:rPr>
        <w:t>二</w:t>
      </w:r>
      <w:r>
        <w:rPr>
          <w:rFonts w:hint="default" w:ascii="Times New Roman" w:hAnsi="Times New Roman" w:eastAsia="仿宋_GB2312" w:cs="Times New Roman"/>
          <w:b/>
          <w:bCs/>
          <w:color w:val="auto"/>
          <w:kern w:val="0"/>
          <w:sz w:val="32"/>
          <w:szCs w:val="32"/>
          <w:lang w:val="en-US" w:eastAsia="zh-CN"/>
        </w:rPr>
        <w:t>条</w:t>
      </w:r>
      <w:r>
        <w:rPr>
          <w:rFonts w:hint="default" w:ascii="Times New Roman" w:hAnsi="Times New Roman" w:eastAsia="仿宋_GB2312" w:cs="Times New Roman"/>
          <w:color w:val="auto"/>
          <w:kern w:val="0"/>
          <w:sz w:val="32"/>
          <w:szCs w:val="32"/>
        </w:rPr>
        <w:t xml:space="preserve">  行政执法</w:t>
      </w:r>
      <w:r>
        <w:rPr>
          <w:rFonts w:hint="default" w:ascii="Times New Roman" w:hAnsi="Times New Roman" w:eastAsia="仿宋_GB2312" w:cs="Times New Roman"/>
          <w:color w:val="auto"/>
          <w:kern w:val="0"/>
          <w:sz w:val="32"/>
          <w:szCs w:val="32"/>
          <w:lang w:val="en-US" w:eastAsia="zh-CN"/>
        </w:rPr>
        <w:t>主体</w:t>
      </w:r>
      <w:r>
        <w:rPr>
          <w:rFonts w:hint="default" w:ascii="Times New Roman" w:hAnsi="Times New Roman" w:eastAsia="仿宋_GB2312" w:cs="Times New Roman"/>
          <w:color w:val="auto"/>
          <w:kern w:val="0"/>
          <w:sz w:val="32"/>
          <w:szCs w:val="32"/>
        </w:rPr>
        <w:t>应当推行包容审慎执法，</w:t>
      </w:r>
      <w:r>
        <w:rPr>
          <w:rFonts w:hint="default" w:ascii="Times New Roman" w:hAnsi="Times New Roman" w:eastAsia="仿宋_GB2312" w:cs="Times New Roman"/>
          <w:color w:val="auto"/>
          <w:kern w:val="0"/>
          <w:sz w:val="32"/>
          <w:szCs w:val="32"/>
          <w:lang w:val="en-US" w:eastAsia="zh-CN"/>
        </w:rPr>
        <w:t>更多</w:t>
      </w:r>
      <w:r>
        <w:rPr>
          <w:rFonts w:hint="default" w:ascii="Times New Roman" w:hAnsi="Times New Roman" w:eastAsia="仿宋_GB2312" w:cs="Times New Roman"/>
          <w:color w:val="auto"/>
          <w:kern w:val="0"/>
          <w:sz w:val="32"/>
          <w:szCs w:val="32"/>
        </w:rPr>
        <w:t>运用行政指导、行政约谈等柔性执法手段，对检查对象加强教育和</w:t>
      </w:r>
      <w:r>
        <w:rPr>
          <w:rFonts w:hint="default" w:ascii="Times New Roman" w:hAnsi="Times New Roman" w:eastAsia="仿宋_GB2312" w:cs="Times New Roman"/>
          <w:color w:val="auto"/>
          <w:kern w:val="0"/>
          <w:sz w:val="32"/>
          <w:szCs w:val="32"/>
          <w:lang w:eastAsia="zh-CN"/>
        </w:rPr>
        <w:t>引</w:t>
      </w:r>
      <w:r>
        <w:rPr>
          <w:rFonts w:hint="default" w:ascii="Times New Roman" w:hAnsi="Times New Roman" w:eastAsia="仿宋_GB2312" w:cs="Times New Roman"/>
          <w:color w:val="auto"/>
          <w:kern w:val="0"/>
          <w:sz w:val="32"/>
          <w:szCs w:val="32"/>
        </w:rPr>
        <w:t>导。</w:t>
      </w:r>
    </w:p>
    <w:p w14:paraId="5AA58E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第二十</w:t>
      </w:r>
      <w:r>
        <w:rPr>
          <w:rFonts w:hint="eastAsia" w:ascii="Times New Roman" w:hAnsi="Times New Roman" w:eastAsia="仿宋_GB2312" w:cs="Times New Roman"/>
          <w:b/>
          <w:bCs/>
          <w:color w:val="auto"/>
          <w:kern w:val="0"/>
          <w:sz w:val="32"/>
          <w:szCs w:val="32"/>
          <w:lang w:val="en-US" w:eastAsia="zh-CN"/>
        </w:rPr>
        <w:t>三</w:t>
      </w:r>
      <w:r>
        <w:rPr>
          <w:rFonts w:hint="default" w:ascii="Times New Roman" w:hAnsi="Times New Roman" w:eastAsia="仿宋_GB2312" w:cs="Times New Roman"/>
          <w:b/>
          <w:bCs/>
          <w:color w:val="auto"/>
          <w:kern w:val="0"/>
          <w:sz w:val="32"/>
          <w:szCs w:val="32"/>
          <w:lang w:val="en-US" w:eastAsia="zh-CN"/>
        </w:rPr>
        <w:t>条</w:t>
      </w:r>
      <w:r>
        <w:rPr>
          <w:rFonts w:hint="default" w:ascii="Times New Roman" w:hAnsi="Times New Roman" w:eastAsia="仿宋_GB2312" w:cs="Times New Roman"/>
          <w:color w:val="auto"/>
          <w:kern w:val="0"/>
          <w:sz w:val="32"/>
          <w:szCs w:val="32"/>
          <w:lang w:val="en-US" w:eastAsia="zh-CN"/>
        </w:rPr>
        <w:t xml:space="preserve">  行政执法主体应当自检查程序终结之日起三十日内，将检查过程中形成的行政执法文书、证据等材料按照档案管理有关规定归档。</w:t>
      </w:r>
    </w:p>
    <w:p w14:paraId="248A58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行政检查中发现违法行为，需要实施行政处罚的，检查过程中形成的材料应当按照规定纳入行政处罚案卷。</w:t>
      </w:r>
    </w:p>
    <w:p w14:paraId="0A6638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4E6F70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rPr>
        <w:t xml:space="preserve">第四章  </w:t>
      </w:r>
      <w:r>
        <w:rPr>
          <w:rFonts w:hint="default" w:ascii="Times New Roman" w:hAnsi="Times New Roman" w:eastAsia="黑体" w:cs="Times New Roman"/>
          <w:color w:val="auto"/>
          <w:kern w:val="0"/>
          <w:sz w:val="32"/>
          <w:szCs w:val="32"/>
        </w:rPr>
        <w:t>监督与保障</w:t>
      </w:r>
    </w:p>
    <w:p w14:paraId="2CB0A3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53AD4E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w:t>
      </w:r>
      <w:r>
        <w:rPr>
          <w:rFonts w:hint="eastAsia" w:ascii="Times New Roman" w:hAnsi="Times New Roman" w:eastAsia="仿宋_GB2312" w:cs="Times New Roman"/>
          <w:b/>
          <w:bCs/>
          <w:color w:val="auto"/>
          <w:kern w:val="0"/>
          <w:sz w:val="32"/>
          <w:szCs w:val="32"/>
          <w:lang w:val="en-US" w:eastAsia="zh-CN" w:bidi="ar-SA"/>
        </w:rPr>
        <w:t>四</w:t>
      </w:r>
      <w:r>
        <w:rPr>
          <w:rFonts w:hint="default" w:ascii="Times New Roman" w:hAnsi="Times New Roman" w:eastAsia="仿宋_GB2312" w:cs="Times New Roman"/>
          <w:b/>
          <w:bCs/>
          <w:color w:val="auto"/>
          <w:kern w:val="0"/>
          <w:sz w:val="32"/>
          <w:szCs w:val="32"/>
          <w:lang w:val="en-US" w:eastAsia="zh-CN" w:bidi="ar-SA"/>
        </w:rPr>
        <w:t>条</w:t>
      </w:r>
      <w:r>
        <w:rPr>
          <w:rFonts w:hint="default" w:ascii="Times New Roman" w:hAnsi="Times New Roman" w:eastAsia="仿宋_GB2312" w:cs="Times New Roman"/>
          <w:color w:val="auto"/>
          <w:kern w:val="0"/>
          <w:sz w:val="32"/>
          <w:szCs w:val="32"/>
          <w:lang w:val="en-US" w:eastAsia="zh-CN" w:bidi="ar-SA"/>
        </w:rPr>
        <w:t xml:space="preserve">  行政执法主体在开展行政检查时，应当遵守下列检查规定：</w:t>
      </w:r>
    </w:p>
    <w:p w14:paraId="7D7720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严禁逐利检查，不得接受被检查企业的馈赠、报酬、福利待遇，不得参加被检查企业提供的宴请、娱乐、旅游等活动，不得由被检查企业承担执法相关开支或者将检查费用转嫁给企业，不得强制或者变相强制企业接受指定的中介机构提供服务；</w:t>
      </w:r>
    </w:p>
    <w:p w14:paraId="4003B3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（二）严禁干扰企业正常生产经营，不得无故要求企业法定代表人到场配合检查；</w:t>
      </w:r>
    </w:p>
    <w:p w14:paraId="2BF78C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（三）严禁任性处罚企业，不得乱查封、乱扣押、乱冻结，不得随意责令停产停业；</w:t>
      </w:r>
    </w:p>
    <w:p w14:paraId="5105B1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（四）严禁下达检查指标，不得将检查频次、罚款金额与考核考评、预算项目绩效挂钩；</w:t>
      </w:r>
    </w:p>
    <w:p w14:paraId="67060A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（五）严禁变相违规检查，不得以观摩、督导、考察等名义，规避计划管理、扫码入企，变相开展涉企行政检查。</w:t>
      </w:r>
    </w:p>
    <w:p w14:paraId="6342F9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（六）法律、法规、规章禁止的其他行为。</w:t>
      </w:r>
    </w:p>
    <w:p w14:paraId="787705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w:t>
      </w:r>
      <w:r>
        <w:rPr>
          <w:rFonts w:hint="eastAsia" w:ascii="Times New Roman" w:hAnsi="Times New Roman" w:eastAsia="仿宋_GB2312" w:cs="Times New Roman"/>
          <w:b/>
          <w:bCs/>
          <w:color w:val="auto"/>
          <w:kern w:val="0"/>
          <w:sz w:val="32"/>
          <w:szCs w:val="32"/>
          <w:lang w:val="en-US" w:eastAsia="zh-CN" w:bidi="ar-SA"/>
        </w:rPr>
        <w:t>五</w:t>
      </w:r>
      <w:r>
        <w:rPr>
          <w:rFonts w:hint="default" w:ascii="Times New Roman" w:hAnsi="Times New Roman" w:eastAsia="仿宋_GB2312" w:cs="Times New Roman"/>
          <w:b/>
          <w:bCs/>
          <w:color w:val="auto"/>
          <w:kern w:val="0"/>
          <w:sz w:val="32"/>
          <w:szCs w:val="32"/>
          <w:lang w:val="en-US" w:eastAsia="zh-CN" w:bidi="ar-SA"/>
        </w:rPr>
        <w:t>条</w:t>
      </w:r>
      <w:r>
        <w:rPr>
          <w:rFonts w:hint="default" w:ascii="Times New Roman" w:hAnsi="Times New Roman" w:eastAsia="仿宋_GB2312" w:cs="Times New Roman"/>
          <w:color w:val="auto"/>
          <w:kern w:val="0"/>
          <w:sz w:val="32"/>
          <w:szCs w:val="32"/>
          <w:lang w:val="en-US" w:eastAsia="zh-CN" w:bidi="ar-SA"/>
        </w:rPr>
        <w:t xml:space="preserve">  行政执法主体应当建立健全本行业、本领域的涉企行政检查内部监督管理制度，督促执法人员依法履行职责，提升执法人员专业素养。</w:t>
      </w:r>
    </w:p>
    <w:p w14:paraId="452F95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w:t>
      </w:r>
      <w:r>
        <w:rPr>
          <w:rFonts w:hint="eastAsia" w:ascii="Times New Roman" w:hAnsi="Times New Roman" w:eastAsia="仿宋_GB2312" w:cs="Times New Roman"/>
          <w:b/>
          <w:bCs/>
          <w:color w:val="auto"/>
          <w:kern w:val="0"/>
          <w:sz w:val="32"/>
          <w:szCs w:val="32"/>
          <w:lang w:val="en-US" w:eastAsia="zh-CN" w:bidi="ar-SA"/>
        </w:rPr>
        <w:t>六</w:t>
      </w:r>
      <w:r>
        <w:rPr>
          <w:rFonts w:hint="default" w:ascii="Times New Roman" w:hAnsi="Times New Roman" w:eastAsia="仿宋_GB2312" w:cs="Times New Roman"/>
          <w:b/>
          <w:bCs/>
          <w:color w:val="auto"/>
          <w:kern w:val="0"/>
          <w:sz w:val="32"/>
          <w:szCs w:val="32"/>
          <w:lang w:val="en-US" w:eastAsia="zh-CN" w:bidi="ar-SA"/>
        </w:rPr>
        <w:t>条</w:t>
      </w:r>
      <w:r>
        <w:rPr>
          <w:rFonts w:hint="default" w:ascii="Times New Roman" w:hAnsi="Times New Roman" w:eastAsia="仿宋_GB2312" w:cs="Times New Roman"/>
          <w:color w:val="auto"/>
          <w:kern w:val="0"/>
          <w:sz w:val="32"/>
          <w:szCs w:val="32"/>
          <w:lang w:val="en-US" w:eastAsia="zh-CN" w:bidi="ar-SA"/>
        </w:rPr>
        <w:t xml:space="preserve">  鼓励行政执法主体在法治框架内，结合实际情况探索创新提高行政检查效能、减轻企业负担的具体措施；对探索中出现失误或者偏差，符合规定条件的，且已履行行政检查职责的，可以予以免责或者减轻责任。</w:t>
      </w:r>
    </w:p>
    <w:p w14:paraId="7D9DF7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w:t>
      </w:r>
      <w:r>
        <w:rPr>
          <w:rFonts w:hint="eastAsia" w:ascii="Times New Roman" w:hAnsi="Times New Roman" w:eastAsia="仿宋_GB2312" w:cs="Times New Roman"/>
          <w:b/>
          <w:bCs/>
          <w:color w:val="auto"/>
          <w:kern w:val="0"/>
          <w:sz w:val="32"/>
          <w:szCs w:val="32"/>
          <w:lang w:val="en-US" w:eastAsia="zh-CN" w:bidi="ar-SA"/>
        </w:rPr>
        <w:t>七</w:t>
      </w:r>
      <w:r>
        <w:rPr>
          <w:rFonts w:hint="default" w:ascii="Times New Roman" w:hAnsi="Times New Roman" w:eastAsia="仿宋_GB2312" w:cs="Times New Roman"/>
          <w:b/>
          <w:bCs/>
          <w:color w:val="auto"/>
          <w:kern w:val="0"/>
          <w:sz w:val="32"/>
          <w:szCs w:val="32"/>
          <w:lang w:val="en-US" w:eastAsia="zh-CN" w:bidi="ar-SA"/>
        </w:rPr>
        <w:t>条</w:t>
      </w:r>
      <w:r>
        <w:rPr>
          <w:rFonts w:hint="default" w:ascii="Times New Roman" w:hAnsi="Times New Roman" w:eastAsia="仿宋_GB2312" w:cs="Times New Roman"/>
          <w:color w:val="auto"/>
          <w:kern w:val="0"/>
          <w:sz w:val="32"/>
          <w:szCs w:val="32"/>
          <w:lang w:val="en-US" w:eastAsia="zh-CN" w:bidi="ar-SA"/>
        </w:rPr>
        <w:t xml:space="preserve">  鼓励企业开展合规管理体系建设，完善内部管理和控制机制，降低违法风险。</w:t>
      </w:r>
    </w:p>
    <w:p w14:paraId="58FE52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支持行政执法机关加强指导，促进企业合规建设结果的运用。</w:t>
      </w:r>
    </w:p>
    <w:p w14:paraId="3BEC0F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第二十</w:t>
      </w:r>
      <w:r>
        <w:rPr>
          <w:rFonts w:hint="eastAsia" w:ascii="Times New Roman" w:hAnsi="Times New Roman" w:eastAsia="仿宋_GB2312" w:cs="Times New Roman"/>
          <w:b/>
          <w:bCs/>
          <w:color w:val="auto"/>
          <w:kern w:val="0"/>
          <w:sz w:val="32"/>
          <w:szCs w:val="32"/>
          <w:lang w:val="en-US" w:eastAsia="zh-CN" w:bidi="ar-SA"/>
        </w:rPr>
        <w:t>八</w:t>
      </w:r>
      <w:r>
        <w:rPr>
          <w:rFonts w:hint="default" w:ascii="Times New Roman" w:hAnsi="Times New Roman" w:eastAsia="仿宋_GB2312" w:cs="Times New Roman"/>
          <w:b/>
          <w:bCs/>
          <w:color w:val="auto"/>
          <w:kern w:val="0"/>
          <w:sz w:val="32"/>
          <w:szCs w:val="32"/>
          <w:lang w:val="en-US" w:eastAsia="zh-CN" w:bidi="ar-SA"/>
        </w:rPr>
        <w:t>条</w:t>
      </w:r>
      <w:r>
        <w:rPr>
          <w:rFonts w:hint="default" w:ascii="Times New Roman" w:hAnsi="Times New Roman" w:eastAsia="仿宋_GB2312" w:cs="Times New Roman"/>
          <w:color w:val="auto"/>
          <w:kern w:val="0"/>
          <w:sz w:val="32"/>
          <w:szCs w:val="32"/>
          <w:lang w:val="en-US" w:eastAsia="zh-CN" w:bidi="ar-SA"/>
        </w:rPr>
        <w:t xml:space="preserve">  市、县、区司法行政部门应当加强涉企行政检查执法监督，发现行政执法主体及行政执法人员在涉企行政检查过程中存在违法违规、明显不当情形的，按照《行政执法监督条例》有关规定处理。</w:t>
      </w:r>
    </w:p>
    <w:p w14:paraId="7E6BE3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14:paraId="0EB01FB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0"/>
          <w:kern w:val="0"/>
          <w:sz w:val="32"/>
          <w:szCs w:val="32"/>
          <w:shd w:val="clear" w:color="auto" w:fill="FFFFFF"/>
          <w:lang w:val="en-US" w:eastAsia="zh-CN" w:bidi="ar-SA"/>
        </w:rPr>
        <w:t>第五章  附则</w:t>
      </w:r>
    </w:p>
    <w:p w14:paraId="0C4E64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黑体" w:cs="Times New Roman"/>
          <w:i w:val="0"/>
          <w:iCs w:val="0"/>
          <w:caps w:val="0"/>
          <w:color w:val="auto"/>
          <w:spacing w:val="0"/>
          <w:kern w:val="0"/>
          <w:sz w:val="32"/>
          <w:szCs w:val="32"/>
          <w:shd w:val="clear" w:color="auto" w:fill="FFFFFF"/>
          <w:lang w:val="en-US" w:eastAsia="zh-CN" w:bidi="ar-SA"/>
        </w:rPr>
      </w:pPr>
    </w:p>
    <w:p w14:paraId="10C337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第</w:t>
      </w:r>
      <w:r>
        <w:rPr>
          <w:rFonts w:hint="eastAsia" w:ascii="Times New Roman" w:hAnsi="Times New Roman" w:eastAsia="仿宋_GB2312" w:cs="Times New Roman"/>
          <w:b/>
          <w:bCs/>
          <w:color w:val="auto"/>
          <w:kern w:val="0"/>
          <w:sz w:val="32"/>
          <w:szCs w:val="32"/>
          <w:lang w:val="en-US" w:eastAsia="zh-CN"/>
        </w:rPr>
        <w:t>二十九</w:t>
      </w:r>
      <w:r>
        <w:rPr>
          <w:rFonts w:hint="default" w:ascii="Times New Roman" w:hAnsi="Times New Roman" w:eastAsia="仿宋_GB2312" w:cs="Times New Roman"/>
          <w:b/>
          <w:bCs/>
          <w:color w:val="auto"/>
          <w:kern w:val="0"/>
          <w:sz w:val="32"/>
          <w:szCs w:val="32"/>
          <w:lang w:val="en-US" w:eastAsia="zh-CN"/>
        </w:rPr>
        <w:t>条</w:t>
      </w:r>
      <w:r>
        <w:rPr>
          <w:rFonts w:hint="default" w:ascii="Times New Roman" w:hAnsi="Times New Roman" w:eastAsia="仿宋_GB2312" w:cs="Times New Roman"/>
          <w:color w:val="auto"/>
          <w:kern w:val="0"/>
          <w:sz w:val="32"/>
          <w:szCs w:val="32"/>
          <w:lang w:val="en-US" w:eastAsia="zh-CN"/>
        </w:rPr>
        <w:t xml:space="preserve">  对个体工商户、个人合伙、农民专业合作社等经营主体实施行政检查，参照本办法执行。</w:t>
      </w:r>
    </w:p>
    <w:p w14:paraId="49A18D60">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 xml:space="preserve">第三十条 </w:t>
      </w:r>
      <w:r>
        <w:rPr>
          <w:rFonts w:hint="default" w:ascii="Times New Roman" w:hAnsi="Times New Roman" w:eastAsia="仿宋_GB2312" w:cs="Times New Roman"/>
          <w:color w:val="auto"/>
          <w:kern w:val="0"/>
          <w:sz w:val="32"/>
          <w:szCs w:val="32"/>
          <w:lang w:val="en-US" w:eastAsia="zh-CN" w:bidi="ar-SA"/>
        </w:rPr>
        <w:t xml:space="preserve"> 本办法自2026年  月  日起施行。</w:t>
      </w:r>
    </w:p>
    <w:p w14:paraId="37A4DB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E59716-F225-4034-B871-A04E479914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9F07361-827B-41C5-B1E0-219339703363}"/>
  </w:font>
  <w:font w:name="Helvetica">
    <w:altName w:val="DejaVu Math TeX Gyre"/>
    <w:panose1 w:val="00000000000000000000"/>
    <w:charset w:val="00"/>
    <w:family w:val="swiss"/>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3" w:fontKey="{15E67AAD-0014-4830-A708-8D7C1AF20D14}"/>
  </w:font>
  <w:font w:name="仿宋_GB2312">
    <w:panose1 w:val="02010609030101010101"/>
    <w:charset w:val="86"/>
    <w:family w:val="auto"/>
    <w:pitch w:val="default"/>
    <w:sig w:usb0="00000001" w:usb1="080E0000" w:usb2="00000000" w:usb3="00000000" w:csb0="00040000" w:csb1="00000000"/>
    <w:embedRegular r:id="rId4" w:fontKey="{A1CD6A4A-5BD9-45C4-BCE4-FE3AD9AE504F}"/>
  </w:font>
  <w:font w:name="方正仿宋_GBK">
    <w:panose1 w:val="03000509000000000000"/>
    <w:charset w:val="86"/>
    <w:family w:val="auto"/>
    <w:pitch w:val="default"/>
    <w:sig w:usb0="00000001" w:usb1="080E0000" w:usb2="00000000" w:usb3="00000000" w:csb0="00040000" w:csb1="00000000"/>
    <w:embedRegular r:id="rId5" w:fontKey="{7D251414-C047-4FF9-8A2F-7AC3B69A9C4E}"/>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C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默认"/>
    <w:qFormat/>
    <w:uiPriority w:val="0"/>
    <w:rPr>
      <w:rFonts w:ascii="Helvetica" w:hAnsi="Helvetica" w:eastAsia="宋体"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2026-06-18T10:02:24Z</dcterms:created>
  <dc:creator>Administrator.MM-202507141015</dc:creator>
  <cp:lastModifiedBy>WPS_1726024519</cp:lastModifiedBy>
  <dcterms:modified xsi:type="dcterms:W3CDTF">2026-06-18T10:03:03Z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eyJoZGlkIjoiNWRhZDRiYjliOGYzYTZjZTgyMTM4MmJhMDIxMWE3MzQiLCJ1c2VySWQiOiIxNjM1MTI0MTk4In0=</vt:lpwstr>
  </property>
  <property fmtid="{D5CDD505-2E9C-101B-9397-08002B2CF9AE}" pid="4" name="ICV">
    <vt:lpwstr>733EDD5229E346C0B31057A4E17395D9_12</vt:lpwstr>
  </property>
</Properties>
</file>