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9B4B4">
      <w:pPr>
        <w:jc w:val="center"/>
        <w:rPr>
          <w:rFonts w:hint="eastAsia" w:ascii="宋体" w:hAnsi="宋体" w:eastAsia="宋体" w:cs="宋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6"/>
          <w:szCs w:val="36"/>
          <w:lang w:val="en-US" w:eastAsia="zh-CN"/>
        </w:rPr>
        <w:t>信阳市生态环境综合行政执法支队2026年第二季度生态环境执法双随机抽查情况公示表</w:t>
      </w:r>
    </w:p>
    <w:p w14:paraId="32BABCEF">
      <w:pPr>
        <w:rPr>
          <w:rFonts w:hint="eastAsia"/>
          <w:color w:val="auto"/>
        </w:rPr>
      </w:pPr>
    </w:p>
    <w:p w14:paraId="30B8FB4D">
      <w:pPr>
        <w:ind w:firstLine="64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根据2026年信阳市污染源日常环境监管“双随机、一公开”抽查事项清单和抽查计划，对辖区内列入排污许可的单位采取双随机抽查的方式，进行了生态环境执法。现将随机抽查情况公示如下：</w:t>
      </w:r>
    </w:p>
    <w:p w14:paraId="75F148C9">
      <w:pPr>
        <w:ind w:firstLine="64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</w:p>
    <w:p w14:paraId="38FF41E1">
      <w:pPr>
        <w:ind w:firstLine="64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（见附件）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9B6530"/>
    <w:rsid w:val="546D18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2026-07-03T08:53:46Z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eyJoZGlkIjoiNWM4M2NlNTYzZGJhZTgwNzdkMjI1ZDJiODU5OGRmMWQifQ==</vt:lpwstr>
  </property>
  <property fmtid="{D5CDD505-2E9C-101B-9397-08002B2CF9AE}" pid="4" name="ICV">
    <vt:lpwstr>F38EF2D14EEA4AD984BD8AA1C69F9F4A_12</vt:lpwstr>
  </property>
</Properties>
</file>