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pPr>
      <w:r>
        <w:rPr>
          <w:i w:val="0"/>
          <w:iCs w:val="0"/>
          <w:caps w:val="0"/>
          <w:color w:val="000000"/>
          <w:spacing w:val="0"/>
          <w:bdr w:val="none" w:color="auto" w:sz="0" w:space="0"/>
        </w:rPr>
        <w:t>国家发改委必须招标的工程项目规定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jc w:val="center"/>
        <w:textAlignment w:val="auto"/>
      </w:pPr>
      <w:r>
        <w:rPr>
          <w:i w:val="0"/>
          <w:iCs w:val="0"/>
          <w:caps w:val="0"/>
          <w:color w:val="000000"/>
          <w:spacing w:val="0"/>
          <w:bdr w:val="none" w:color="auto" w:sz="0" w:space="0"/>
        </w:rPr>
        <w:t>国家发改委第16号令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4"/>
          <w:szCs w:val="24"/>
          <w:bdr w:val="none" w:color="auto" w:sz="0" w:space="0"/>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国家发改委必须招标的工程项目规定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bdr w:val="none" w:color="auto" w:sz="0" w:space="0"/>
        </w:rPr>
        <w:t>第一条</w:t>
      </w:r>
      <w:r>
        <w:rPr>
          <w:rStyle w:val="13"/>
          <w:rFonts w:hint="default" w:ascii="Calibri" w:hAnsi="Calibri"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为了确定必须招标的工程项目，规范招标投标活动，提高工作效率、降低企业成本、预防腐败，根据《中华人民共和国招标投标法》第三条的规定，制定本规定。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bdr w:val="none" w:color="auto" w:sz="0" w:space="0"/>
        </w:rPr>
        <w:t>第二条</w:t>
      </w:r>
      <w:r>
        <w:rPr>
          <w:rStyle w:val="13"/>
          <w:rFonts w:hint="default" w:ascii="Calibri" w:hAnsi="Calibri"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全部或者部分使用国有资金投资或者国家融资的项目包括：</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（一）使用预算资金</w:t>
      </w:r>
      <w:r>
        <w:rPr>
          <w:rFonts w:hint="default" w:ascii="Calibri" w:hAnsi="Calibri" w:cs="Calibri"/>
          <w:i w:val="0"/>
          <w:iCs w:val="0"/>
          <w:caps w:val="0"/>
          <w:color w:val="000000"/>
          <w:spacing w:val="0"/>
          <w:sz w:val="24"/>
          <w:szCs w:val="24"/>
          <w:bdr w:val="none" w:color="auto" w:sz="0" w:space="0"/>
        </w:rPr>
        <w:t>200</w:t>
      </w:r>
      <w:r>
        <w:rPr>
          <w:rFonts w:hint="eastAsia" w:ascii="宋体" w:hAnsi="宋体" w:eastAsia="宋体" w:cs="宋体"/>
          <w:i w:val="0"/>
          <w:iCs w:val="0"/>
          <w:caps w:val="0"/>
          <w:color w:val="000000"/>
          <w:spacing w:val="0"/>
          <w:sz w:val="24"/>
          <w:szCs w:val="24"/>
          <w:bdr w:val="none" w:color="auto" w:sz="0" w:space="0"/>
        </w:rPr>
        <w:t>万元人民币以上，并且该资金占投资额</w:t>
      </w:r>
      <w:r>
        <w:rPr>
          <w:rFonts w:hint="default" w:ascii="Calibri" w:hAnsi="Calibri" w:cs="Calibri"/>
          <w:i w:val="0"/>
          <w:iCs w:val="0"/>
          <w:caps w:val="0"/>
          <w:color w:val="000000"/>
          <w:spacing w:val="0"/>
          <w:sz w:val="24"/>
          <w:szCs w:val="24"/>
          <w:bdr w:val="none" w:color="auto" w:sz="0" w:space="0"/>
        </w:rPr>
        <w:t>10%</w:t>
      </w:r>
      <w:r>
        <w:rPr>
          <w:rFonts w:hint="eastAsia" w:ascii="宋体" w:hAnsi="宋体" w:eastAsia="宋体" w:cs="宋体"/>
          <w:i w:val="0"/>
          <w:iCs w:val="0"/>
          <w:caps w:val="0"/>
          <w:color w:val="000000"/>
          <w:spacing w:val="0"/>
          <w:sz w:val="24"/>
          <w:szCs w:val="24"/>
          <w:bdr w:val="none" w:color="auto" w:sz="0" w:space="0"/>
        </w:rPr>
        <w:t>以上的项目；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（二）使用国有企业事业单位资金，并且该资金占控股或者主导地位的项目。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bdr w:val="none" w:color="auto" w:sz="0" w:space="0"/>
        </w:rPr>
        <w:t>第三条</w:t>
      </w:r>
      <w:r>
        <w:rPr>
          <w:rStyle w:val="13"/>
          <w:rFonts w:hint="default" w:ascii="Calibri" w:hAnsi="Calibri"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使用国际组织或者外国政府贷款、援助资金的项目包括：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（一）使用世界银行、亚洲开发银行等国际组织贷款、援助资金的项目；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（二）使用外国政府及其机构贷款、援助资金的项目。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bdr w:val="none" w:color="auto" w:sz="0" w:space="0"/>
        </w:rPr>
        <w:t>第四条</w:t>
      </w:r>
      <w:r>
        <w:rPr>
          <w:rStyle w:val="13"/>
          <w:rFonts w:hint="default" w:ascii="Calibri" w:hAnsi="Calibri"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bdr w:val="none" w:color="auto" w:sz="0" w:space="0"/>
        </w:rPr>
        <w:t>第五条</w:t>
      </w:r>
      <w:r>
        <w:rPr>
          <w:rStyle w:val="13"/>
          <w:rFonts w:hint="default" w:ascii="Calibri" w:hAnsi="Calibri"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本规定第二条至第四条规定范围内的项目，其勘察、设计、施工、监理以及与工程建设有关的重要设备、材料等的采购达到下列标准之一的，必须招标：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（一）施工单项合同估算价在</w:t>
      </w:r>
      <w:r>
        <w:rPr>
          <w:rFonts w:hint="default" w:ascii="Calibri" w:hAnsi="Calibri" w:cs="Calibri"/>
          <w:i w:val="0"/>
          <w:iCs w:val="0"/>
          <w:caps w:val="0"/>
          <w:color w:val="000000"/>
          <w:spacing w:val="0"/>
          <w:sz w:val="24"/>
          <w:szCs w:val="24"/>
          <w:bdr w:val="none" w:color="auto" w:sz="0" w:space="0"/>
        </w:rPr>
        <w:t>400</w:t>
      </w:r>
      <w:r>
        <w:rPr>
          <w:rFonts w:hint="eastAsia" w:ascii="宋体" w:hAnsi="宋体" w:eastAsia="宋体" w:cs="宋体"/>
          <w:i w:val="0"/>
          <w:iCs w:val="0"/>
          <w:caps w:val="0"/>
          <w:color w:val="000000"/>
          <w:spacing w:val="0"/>
          <w:sz w:val="24"/>
          <w:szCs w:val="24"/>
          <w:bdr w:val="none" w:color="auto" w:sz="0" w:space="0"/>
        </w:rPr>
        <w:t>万元人民币以上；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（二）重要设备、材料等货物的采购，单项合同估算价在</w:t>
      </w:r>
      <w:r>
        <w:rPr>
          <w:rFonts w:hint="default" w:ascii="Calibri" w:hAnsi="Calibri" w:cs="Calibri"/>
          <w:i w:val="0"/>
          <w:iCs w:val="0"/>
          <w:caps w:val="0"/>
          <w:color w:val="000000"/>
          <w:spacing w:val="0"/>
          <w:sz w:val="24"/>
          <w:szCs w:val="24"/>
          <w:bdr w:val="none" w:color="auto" w:sz="0" w:space="0"/>
        </w:rPr>
        <w:t>200</w:t>
      </w:r>
      <w:r>
        <w:rPr>
          <w:rFonts w:hint="eastAsia" w:ascii="宋体" w:hAnsi="宋体" w:eastAsia="宋体" w:cs="宋体"/>
          <w:i w:val="0"/>
          <w:iCs w:val="0"/>
          <w:caps w:val="0"/>
          <w:color w:val="000000"/>
          <w:spacing w:val="0"/>
          <w:sz w:val="24"/>
          <w:szCs w:val="24"/>
          <w:bdr w:val="none" w:color="auto" w:sz="0" w:space="0"/>
        </w:rPr>
        <w:t>万元人民币以上；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（三）勘察、设计、监理等服务的采购，单项合同估算价在</w:t>
      </w:r>
      <w:r>
        <w:rPr>
          <w:rFonts w:hint="default" w:ascii="Calibri" w:hAnsi="Calibri" w:cs="Calibri"/>
          <w:i w:val="0"/>
          <w:iCs w:val="0"/>
          <w:caps w:val="0"/>
          <w:color w:val="000000"/>
          <w:spacing w:val="0"/>
          <w:sz w:val="24"/>
          <w:szCs w:val="24"/>
          <w:bdr w:val="none" w:color="auto" w:sz="0" w:space="0"/>
        </w:rPr>
        <w:t>100</w:t>
      </w:r>
      <w:r>
        <w:rPr>
          <w:rFonts w:hint="eastAsia" w:ascii="宋体" w:hAnsi="宋体" w:eastAsia="宋体" w:cs="宋体"/>
          <w:i w:val="0"/>
          <w:iCs w:val="0"/>
          <w:caps w:val="0"/>
          <w:color w:val="000000"/>
          <w:spacing w:val="0"/>
          <w:sz w:val="24"/>
          <w:szCs w:val="24"/>
          <w:bdr w:val="none" w:color="auto" w:sz="0" w:space="0"/>
        </w:rPr>
        <w:t>万元人民币以上。同一项目中可以合并进行的勘察、设计、施工、监理以及与工程建设有关的重要设备、材料等的采购，合同估算价合计达到前款规定标准的，必须招标。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textAlignment w:val="auto"/>
        <w:rPr>
          <w:rFonts w:hint="default" w:ascii="Calibri" w:hAnsi="Calibri" w:cs="Calibri"/>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bdr w:val="none" w:color="auto" w:sz="0" w:space="0"/>
        </w:rPr>
        <w:t>第六条</w:t>
      </w:r>
      <w:r>
        <w:rPr>
          <w:rStyle w:val="13"/>
          <w:rFonts w:hint="default" w:ascii="Calibri" w:hAnsi="Calibri"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本规定自</w:t>
      </w:r>
      <w:r>
        <w:rPr>
          <w:rFonts w:hint="default" w:ascii="Calibri" w:hAnsi="Calibri" w:cs="Calibri"/>
          <w:i w:val="0"/>
          <w:iCs w:val="0"/>
          <w:caps w:val="0"/>
          <w:color w:val="000000"/>
          <w:spacing w:val="0"/>
          <w:sz w:val="24"/>
          <w:szCs w:val="24"/>
          <w:bdr w:val="none" w:color="auto" w:sz="0" w:space="0"/>
        </w:rPr>
        <w:t>2018</w:t>
      </w:r>
      <w:r>
        <w:rPr>
          <w:rFonts w:hint="eastAsia" w:ascii="宋体" w:hAnsi="宋体" w:eastAsia="宋体" w:cs="宋体"/>
          <w:i w:val="0"/>
          <w:iCs w:val="0"/>
          <w:caps w:val="0"/>
          <w:color w:val="000000"/>
          <w:spacing w:val="0"/>
          <w:sz w:val="24"/>
          <w:szCs w:val="24"/>
          <w:bdr w:val="none" w:color="auto" w:sz="0" w:space="0"/>
        </w:rPr>
        <w:t>年</w:t>
      </w:r>
      <w:r>
        <w:rPr>
          <w:rFonts w:hint="default" w:ascii="Calibri" w:hAnsi="Calibri" w:cs="Calibri"/>
          <w:i w:val="0"/>
          <w:iCs w:val="0"/>
          <w:caps w:val="0"/>
          <w:color w:val="000000"/>
          <w:spacing w:val="0"/>
          <w:sz w:val="24"/>
          <w:szCs w:val="24"/>
          <w:bdr w:val="none" w:color="auto" w:sz="0" w:space="0"/>
        </w:rPr>
        <w:t>6</w:t>
      </w:r>
      <w:r>
        <w:rPr>
          <w:rFonts w:hint="eastAsia" w:ascii="宋体" w:hAnsi="宋体" w:eastAsia="宋体" w:cs="宋体"/>
          <w:i w:val="0"/>
          <w:iCs w:val="0"/>
          <w:caps w:val="0"/>
          <w:color w:val="000000"/>
          <w:spacing w:val="0"/>
          <w:sz w:val="24"/>
          <w:szCs w:val="24"/>
          <w:bdr w:val="none" w:color="auto" w:sz="0" w:space="0"/>
        </w:rPr>
        <w:t>月</w:t>
      </w:r>
      <w:r>
        <w:rPr>
          <w:rFonts w:hint="default" w:ascii="Calibri" w:hAnsi="Calibri" w:cs="Calibri"/>
          <w:i w:val="0"/>
          <w:iCs w:val="0"/>
          <w:caps w:val="0"/>
          <w:color w:val="000000"/>
          <w:spacing w:val="0"/>
          <w:sz w:val="24"/>
          <w:szCs w:val="24"/>
          <w:bdr w:val="none" w:color="auto" w:sz="0" w:space="0"/>
        </w:rPr>
        <w:t>1</w:t>
      </w:r>
      <w:r>
        <w:rPr>
          <w:rFonts w:hint="eastAsia" w:ascii="宋体" w:hAnsi="宋体" w:eastAsia="宋体" w:cs="宋体"/>
          <w:i w:val="0"/>
          <w:iCs w:val="0"/>
          <w:caps w:val="0"/>
          <w:color w:val="000000"/>
          <w:spacing w:val="0"/>
          <w:sz w:val="24"/>
          <w:szCs w:val="24"/>
          <w:bdr w:val="none" w:color="auto" w:sz="0" w:space="0"/>
        </w:rPr>
        <w:t>日起施行。</w:t>
      </w:r>
    </w:p>
    <w:p>
      <w:pPr>
        <w:keepNext w:val="0"/>
        <w:keepLines w:val="0"/>
        <w:pageBreakBefore w:val="0"/>
        <w:kinsoku/>
        <w:wordWrap/>
        <w:overflowPunct/>
        <w:topLinePunct w:val="0"/>
        <w:autoSpaceDE w:val="0"/>
        <w:autoSpaceDN w:val="0"/>
        <w:bidi w:val="0"/>
        <w:adjustRightInd/>
        <w:snapToGrid/>
        <w:spacing w:before="0" w:after="0"/>
        <w:ind w:left="0" w:leftChars="0" w:firstLine="0" w:firstLineChars="0"/>
        <w:textAlignment w:val="auto"/>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91230D8"/>
    <w:rsid w:val="3C4B05CE"/>
    <w:rsid w:val="3DDD5463"/>
    <w:rsid w:val="3E3541BF"/>
    <w:rsid w:val="434476AE"/>
    <w:rsid w:val="46963C10"/>
    <w:rsid w:val="46B17CA6"/>
    <w:rsid w:val="4885612D"/>
    <w:rsid w:val="48FE5AA8"/>
    <w:rsid w:val="4B79641B"/>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4"/>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5">
    <w:name w:val="标题 1 Char"/>
    <w:link w:val="4"/>
    <w:qFormat/>
    <w:uiPriority w:val="1"/>
    <w:rPr>
      <w:rFonts w:ascii="Times New Roman" w:hAnsi="Times New Roman" w:eastAsia="黑体" w:cs="方正小标宋简体"/>
      <w:sz w:val="32"/>
      <w:szCs w:val="78"/>
    </w:rPr>
  </w:style>
  <w:style w:type="character" w:customStyle="1" w:styleId="16">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2021-12-18T01:45:45Z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