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i w:val="0"/>
          <w:iCs w:val="0"/>
          <w:caps w:val="0"/>
          <w:color w:val="000000"/>
          <w:spacing w:val="0"/>
          <w:bdr w:val="none" w:color="auto" w:sz="0" w:space="0"/>
        </w:rPr>
        <w:t>河南省公共资源交易监督管理办法</w:t>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lang w:val="en-US" w:eastAsia="zh-CN" w:bidi="ar"/>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ascii="Courier New" w:hAnsi="Courier New" w:cs="Courier New"/>
          <w:i w:val="0"/>
          <w:iCs w:val="0"/>
          <w:caps w:val="0"/>
          <w:color w:val="000000"/>
          <w:spacing w:val="0"/>
          <w:sz w:val="31"/>
          <w:szCs w:val="31"/>
        </w:rPr>
      </w:pPr>
      <w:r>
        <w:rPr>
          <w:rFonts w:ascii="黑体" w:hAnsi="宋体" w:eastAsia="黑体" w:cs="黑体"/>
          <w:i w:val="0"/>
          <w:iCs w:val="0"/>
          <w:caps w:val="0"/>
          <w:color w:val="000000"/>
          <w:spacing w:val="0"/>
          <w:sz w:val="31"/>
          <w:szCs w:val="31"/>
          <w:bdr w:val="none" w:color="auto" w:sz="0" w:space="0"/>
        </w:rPr>
        <w:t>第一章</w:t>
      </w:r>
      <w:r>
        <w:rPr>
          <w:rFonts w:hint="default" w:ascii="Courier New" w:hAnsi="Courier New" w:cs="Courier New"/>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总  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第一条</w:t>
      </w:r>
      <w:r>
        <w:rPr>
          <w:rStyle w:val="13"/>
          <w:rFonts w:ascii="仿宋_GB2312" w:hAnsi="Courier New" w:eastAsia="仿宋_GB2312" w:cs="仿宋_GB2312"/>
          <w:i w:val="0"/>
          <w:iCs w:val="0"/>
          <w:caps w:val="0"/>
          <w:color w:val="000000"/>
          <w:spacing w:val="0"/>
          <w:sz w:val="31"/>
          <w:szCs w:val="31"/>
          <w:bdr w:val="none" w:color="auto" w:sz="0" w:space="0"/>
        </w:rPr>
        <w:t> </w:t>
      </w:r>
      <w:r>
        <w:rPr>
          <w:rFonts w:hint="default" w:ascii="Courier New" w:hAnsi="Courier New" w:cs="Courier New"/>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rPr>
        <w:t>为加强全省公共资源交易监督管理，规范公共资源交易活动行为，建立公开、公平、公正和诚实守信的交易秩序，提高公共资源交易效率和效益，根据《中华人民共和国招标投标法》、《中华人民共和国政府采购法》、《中华人民共和国企业国有资产管理法》、《中华人民共和国拍卖法》、《公共资源交易平台管理暂行办法》（国家发展改革委等</w:t>
      </w:r>
      <w:r>
        <w:rPr>
          <w:rFonts w:hint="default" w:ascii="Courier New" w:hAnsi="Courier New" w:eastAsia="仿宋_GB2312" w:cs="Courier New"/>
          <w:i w:val="0"/>
          <w:iCs w:val="0"/>
          <w:caps w:val="0"/>
          <w:color w:val="000000"/>
          <w:spacing w:val="0"/>
          <w:sz w:val="31"/>
          <w:szCs w:val="31"/>
          <w:bdr w:val="none" w:color="auto" w:sz="0" w:space="0"/>
        </w:rPr>
        <w:t>14</w:t>
      </w:r>
      <w:r>
        <w:rPr>
          <w:rFonts w:hint="eastAsia" w:ascii="仿宋_GB2312" w:hAnsi="Courier New" w:eastAsia="仿宋_GB2312" w:cs="仿宋_GB2312"/>
          <w:i w:val="0"/>
          <w:iCs w:val="0"/>
          <w:caps w:val="0"/>
          <w:color w:val="000000"/>
          <w:spacing w:val="0"/>
          <w:sz w:val="31"/>
          <w:szCs w:val="31"/>
          <w:bdr w:val="none" w:color="auto" w:sz="0" w:space="0"/>
        </w:rPr>
        <w:t>部委令第</w:t>
      </w:r>
      <w:r>
        <w:rPr>
          <w:rFonts w:hint="default" w:ascii="Courier New" w:hAnsi="Courier New" w:cs="Courier New"/>
          <w:i w:val="0"/>
          <w:iCs w:val="0"/>
          <w:caps w:val="0"/>
          <w:color w:val="000000"/>
          <w:spacing w:val="0"/>
          <w:sz w:val="31"/>
          <w:szCs w:val="31"/>
          <w:bdr w:val="none" w:color="auto" w:sz="0" w:space="0"/>
        </w:rPr>
        <w:t>39</w:t>
      </w:r>
      <w:r>
        <w:rPr>
          <w:rFonts w:hint="eastAsia" w:ascii="仿宋_GB2312" w:hAnsi="Courier New" w:eastAsia="仿宋_GB2312" w:cs="仿宋_GB2312"/>
          <w:i w:val="0"/>
          <w:iCs w:val="0"/>
          <w:caps w:val="0"/>
          <w:color w:val="000000"/>
          <w:spacing w:val="0"/>
          <w:sz w:val="31"/>
          <w:szCs w:val="31"/>
          <w:bdr w:val="none" w:color="auto" w:sz="0" w:space="0"/>
        </w:rPr>
        <w:t>号）、《企业国有资产交易监督管理办法》（国务院国资委、财政部令第</w:t>
      </w:r>
      <w:r>
        <w:rPr>
          <w:rFonts w:hint="default" w:ascii="Courier New" w:hAnsi="Courier New" w:cs="Courier New"/>
          <w:i w:val="0"/>
          <w:iCs w:val="0"/>
          <w:caps w:val="0"/>
          <w:color w:val="000000"/>
          <w:spacing w:val="0"/>
          <w:sz w:val="31"/>
          <w:szCs w:val="31"/>
          <w:bdr w:val="none" w:color="auto" w:sz="0" w:space="0"/>
        </w:rPr>
        <w:t>32</w:t>
      </w:r>
      <w:r>
        <w:rPr>
          <w:rFonts w:hint="eastAsia" w:ascii="仿宋_GB2312" w:hAnsi="Courier New" w:eastAsia="仿宋_GB2312" w:cs="仿宋_GB2312"/>
          <w:i w:val="0"/>
          <w:iCs w:val="0"/>
          <w:caps w:val="0"/>
          <w:color w:val="000000"/>
          <w:spacing w:val="0"/>
          <w:sz w:val="31"/>
          <w:szCs w:val="31"/>
          <w:bdr w:val="none" w:color="auto" w:sz="0" w:space="0"/>
        </w:rPr>
        <w:t>号）《河南省公共资源交易管理委员会关于进一步加强公共资源交易监管的意见》（豫公管委〔</w:t>
      </w:r>
      <w:r>
        <w:rPr>
          <w:rFonts w:hint="default" w:ascii="Courier New" w:hAnsi="Courier New" w:cs="Courier New"/>
          <w:i w:val="0"/>
          <w:iCs w:val="0"/>
          <w:caps w:val="0"/>
          <w:color w:val="000000"/>
          <w:spacing w:val="0"/>
          <w:sz w:val="31"/>
          <w:szCs w:val="31"/>
          <w:bdr w:val="none" w:color="auto" w:sz="0" w:space="0"/>
        </w:rPr>
        <w:t>201</w:t>
      </w:r>
      <w:r>
        <w:rPr>
          <w:rFonts w:hint="default" w:ascii="Courier New" w:hAnsi="Courier New" w:eastAsia="仿宋_GB2312" w:cs="Courier New"/>
          <w:i w:val="0"/>
          <w:iCs w:val="0"/>
          <w:caps w:val="0"/>
          <w:color w:val="000000"/>
          <w:spacing w:val="0"/>
          <w:sz w:val="31"/>
          <w:szCs w:val="31"/>
          <w:bdr w:val="none" w:color="auto" w:sz="0" w:space="0"/>
        </w:rPr>
        <w:t>7</w:t>
      </w:r>
      <w:r>
        <w:rPr>
          <w:rFonts w:hint="eastAsia" w:ascii="仿宋_GB2312" w:hAnsi="Courier New" w:eastAsia="仿宋_GB2312" w:cs="仿宋_GB2312"/>
          <w:i w:val="0"/>
          <w:iCs w:val="0"/>
          <w:caps w:val="0"/>
          <w:color w:val="000000"/>
          <w:spacing w:val="0"/>
          <w:sz w:val="31"/>
          <w:szCs w:val="31"/>
          <w:bdr w:val="none" w:color="auto" w:sz="0" w:space="0"/>
        </w:rPr>
        <w:t>〕</w:t>
      </w:r>
      <w:r>
        <w:rPr>
          <w:rFonts w:hint="default" w:ascii="Courier New" w:hAnsi="Courier New" w:eastAsia="仿宋_GB2312" w:cs="Courier New"/>
          <w:i w:val="0"/>
          <w:iCs w:val="0"/>
          <w:caps w:val="0"/>
          <w:color w:val="000000"/>
          <w:spacing w:val="0"/>
          <w:sz w:val="31"/>
          <w:szCs w:val="31"/>
          <w:bdr w:val="none" w:color="auto" w:sz="0" w:space="0"/>
        </w:rPr>
        <w:t>1</w:t>
      </w:r>
      <w:r>
        <w:rPr>
          <w:rFonts w:hint="eastAsia" w:ascii="仿宋_GB2312" w:hAnsi="Courier New" w:eastAsia="仿宋_GB2312" w:cs="仿宋_GB2312"/>
          <w:i w:val="0"/>
          <w:iCs w:val="0"/>
          <w:caps w:val="0"/>
          <w:color w:val="000000"/>
          <w:spacing w:val="0"/>
          <w:sz w:val="31"/>
          <w:szCs w:val="31"/>
          <w:bdr w:val="none" w:color="auto" w:sz="0" w:space="0"/>
        </w:rPr>
        <w:t>号）等有关规定，结合我省实际，制定本办法。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第二条</w:t>
      </w:r>
      <w:r>
        <w:rPr>
          <w:rStyle w:val="13"/>
          <w:rFonts w:hint="eastAsia" w:ascii="仿宋_GB2312" w:hAnsi="Courier New" w:eastAsia="仿宋_GB2312" w:cs="仿宋_GB2312"/>
          <w:i w:val="0"/>
          <w:iCs w:val="0"/>
          <w:caps w:val="0"/>
          <w:color w:val="000000"/>
          <w:spacing w:val="0"/>
          <w:sz w:val="31"/>
          <w:szCs w:val="31"/>
          <w:bdr w:val="none" w:color="auto" w:sz="0" w:space="0"/>
        </w:rPr>
        <w:t> </w:t>
      </w:r>
      <w:r>
        <w:rPr>
          <w:rFonts w:hint="default" w:ascii="Courier New" w:hAnsi="Courier New" w:cs="Courier New"/>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shd w:val="clear" w:fill="FFFFFF"/>
        </w:rPr>
        <w:t>本办法所称公共资源交易，主要是指政府（国有资金）投资的工程建设项目招投标、土地使用权和矿业权出让、国有产权（股权）交易</w:t>
      </w:r>
      <w:r>
        <w:rPr>
          <w:rFonts w:hint="eastAsia" w:ascii="仿宋_GB2312" w:hAnsi="Courier New" w:eastAsia="仿宋_GB2312" w:cs="仿宋_GB2312"/>
          <w:i w:val="0"/>
          <w:iCs w:val="0"/>
          <w:caps w:val="0"/>
          <w:color w:val="000000"/>
          <w:spacing w:val="0"/>
          <w:sz w:val="31"/>
          <w:szCs w:val="31"/>
          <w:bdr w:val="none" w:color="auto" w:sz="0" w:space="0"/>
        </w:rPr>
        <w:t>、</w:t>
      </w:r>
      <w:r>
        <w:rPr>
          <w:rFonts w:hint="eastAsia" w:ascii="仿宋_GB2312" w:hAnsi="Courier New" w:eastAsia="仿宋_GB2312" w:cs="仿宋_GB2312"/>
          <w:i w:val="0"/>
          <w:iCs w:val="0"/>
          <w:caps w:val="0"/>
          <w:color w:val="000000"/>
          <w:spacing w:val="0"/>
          <w:sz w:val="31"/>
          <w:szCs w:val="31"/>
          <w:bdr w:val="none" w:color="auto" w:sz="0" w:space="0"/>
          <w:shd w:val="clear" w:fill="FFFFFF"/>
        </w:rPr>
        <w:t>政府采购、</w:t>
      </w:r>
      <w:r>
        <w:rPr>
          <w:rFonts w:hint="eastAsia" w:ascii="仿宋_GB2312" w:hAnsi="Courier New" w:eastAsia="仿宋_GB2312" w:cs="仿宋_GB2312"/>
          <w:i w:val="0"/>
          <w:iCs w:val="0"/>
          <w:caps w:val="0"/>
          <w:color w:val="000000"/>
          <w:spacing w:val="0"/>
          <w:sz w:val="31"/>
          <w:szCs w:val="31"/>
          <w:bdr w:val="none" w:color="auto" w:sz="0" w:space="0"/>
        </w:rPr>
        <w:t>医药集中采购、罚没物品拍卖、主要污染物排污权、碳排放权、特许经营权、林权等交易活动。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第三条</w:t>
      </w:r>
      <w:r>
        <w:rPr>
          <w:rFonts w:hint="default" w:ascii="Courier New" w:hAnsi="Courier New" w:cs="Courier New"/>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rPr>
        <w:t> 按照决策权、执行权、监督权既相互制约又相互协调和管办分离、依法监管的原则，实行公共资源交易服务、管理与监督职能相互分离的监管体制和运行机制。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第四条</w:t>
      </w:r>
      <w:r>
        <w:rPr>
          <w:rFonts w:hint="eastAsia" w:ascii="仿宋_GB2312" w:hAnsi="Courier New" w:eastAsia="仿宋_GB2312" w:cs="仿宋_GB2312"/>
          <w:i w:val="0"/>
          <w:iCs w:val="0"/>
          <w:caps w:val="0"/>
          <w:color w:val="000000"/>
          <w:spacing w:val="0"/>
          <w:sz w:val="31"/>
          <w:szCs w:val="31"/>
          <w:bdr w:val="none" w:color="auto" w:sz="0" w:space="0"/>
        </w:rPr>
        <w:t>  政府举办的公共资源交易平台、市场主体依标准兴办的交易平台等共同构成全省公共资源交易平台体系。公共资源交易中心、市场主体兴办的交易平台运行单位、提供交易服务的市场主体是公共资源交易平台运行服务机构（以下简称“平台运行服务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第五条</w:t>
      </w:r>
      <w:r>
        <w:rPr>
          <w:rFonts w:hint="default" w:ascii="Courier New" w:hAnsi="Courier New" w:cs="Courier New"/>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rPr>
        <w:t> 凡在公共资源交易平台体系进行的交易活动及其监督管理，适用本办法。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第二章</w:t>
      </w:r>
      <w:r>
        <w:rPr>
          <w:rFonts w:hint="default" w:ascii="Courier New" w:hAnsi="Courier New" w:cs="Courier New"/>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 组织管理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第六条</w:t>
      </w:r>
      <w:r>
        <w:rPr>
          <w:rFonts w:hint="default" w:ascii="Courier New" w:hAnsi="Courier New" w:cs="Courier New"/>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rPr>
        <w:t> 按照管办分离和统一组织架构的原则，在全省范围内实行“一委一办一中心”的组织架构，即公共资源交易管理委员会、公共资源交易管理委员会办公室、公共资源交易中心。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省公共资源交易管理委员会由省政府常务副省长任主任；委员会由省发展改革委、省编办、教育厅、工业和信息化委、财政厅、人社厅、国土资源厅、环保厅、住房城乡建设厅、交通运输厅、水利厅、农业厅、林业厅、商务厅、卫生计生委、省政府国资委、旅游局、事管局及省公共资源交易中心等单位组成；委员会下设办公室，办公室设在省发展改革委。</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各地要按照管办分离和统一组织架构要求进行设置。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第七条</w:t>
      </w:r>
      <w:r>
        <w:rPr>
          <w:rFonts w:hint="eastAsia" w:ascii="仿宋_GB2312" w:hAnsi="Courier New" w:eastAsia="仿宋_GB2312" w:cs="仿宋_GB2312"/>
          <w:i w:val="0"/>
          <w:iCs w:val="0"/>
          <w:caps w:val="0"/>
          <w:color w:val="000000"/>
          <w:spacing w:val="0"/>
          <w:sz w:val="31"/>
          <w:szCs w:val="31"/>
          <w:bdr w:val="none" w:color="auto" w:sz="0" w:space="0"/>
        </w:rPr>
        <w:t>  公共资源交易管理委员会作为公共资源交易工作的决策、指导、协调机构，行使公共资源交易监督管理重大事项的领导权和决策权，制定有关政策措施，统筹推进公共资源交易改革、监管、规范等工作。公共资源交易管理委员会成员单位按照职责分工，分别履行公共资源交易活动行政监管、监督检查等职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第八条</w:t>
      </w:r>
      <w:r>
        <w:rPr>
          <w:rStyle w:val="13"/>
          <w:rFonts w:hint="eastAsia" w:ascii="仿宋_GB2312" w:hAnsi="Courier New" w:eastAsia="仿宋_GB2312" w:cs="仿宋_GB2312"/>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rPr>
        <w:t> 公共资源交易管理委员会办公室承担公共资源交易管理委员会日常工作，贯彻落实公共资源交易管理委员会的各项决策部署，是公共资源交易综合监管部门。主要履行以下职责：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（一）牵头建立、规范统一的公共资源交易平台体系；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（二）拟订加强和规范公共资源交易活动管理的政策措施和规则制度，并会同有关部门对其执行情况进行监督检查；对公共资源交易进行规范、协调服务和综合监管；对平台运行服务机构实施日常指导与监管；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（三）拟订和动态调整公共资源交易目录，督促相关部门积极推进项目进场交易；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（四）管理省综合评标专家库、评标专家及网络抽取终端；</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（五）协调有关行政监督部门加强公共资源交易事中事后监管，处理公共资源交易投诉和举报，依法查处交易活动中的违法违规行为；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default" w:ascii="Courier New" w:hAnsi="Courier New" w:cs="Courier New"/>
          <w:i w:val="0"/>
          <w:iCs w:val="0"/>
          <w:caps w:val="0"/>
          <w:color w:val="000000"/>
          <w:spacing w:val="0"/>
          <w:sz w:val="31"/>
          <w:szCs w:val="31"/>
          <w:bdr w:val="none" w:color="auto" w:sz="0" w:space="0"/>
        </w:rPr>
        <w:t>（六）</w:t>
      </w:r>
      <w:r>
        <w:rPr>
          <w:rFonts w:hint="eastAsia" w:ascii="仿宋_GB2312" w:hAnsi="Courier New" w:eastAsia="仿宋_GB2312" w:cs="仿宋_GB2312"/>
          <w:i w:val="0"/>
          <w:iCs w:val="0"/>
          <w:caps w:val="0"/>
          <w:color w:val="000000"/>
          <w:spacing w:val="0"/>
          <w:sz w:val="31"/>
          <w:szCs w:val="31"/>
          <w:bdr w:val="none" w:color="auto" w:sz="0" w:space="0"/>
        </w:rPr>
        <w:t>建立健全公共资源交易监管长效机制，对交易平台的运行、服务及管理进行考核评价。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第九条</w:t>
      </w:r>
      <w:r>
        <w:rPr>
          <w:rStyle w:val="13"/>
          <w:rFonts w:hint="eastAsia" w:ascii="仿宋_GB2312" w:hAnsi="Courier New" w:eastAsia="仿宋_GB2312" w:cs="仿宋_GB2312"/>
          <w:i w:val="0"/>
          <w:iCs w:val="0"/>
          <w:caps w:val="0"/>
          <w:color w:val="000000"/>
          <w:spacing w:val="0"/>
          <w:sz w:val="31"/>
          <w:szCs w:val="31"/>
          <w:bdr w:val="none" w:color="auto" w:sz="0" w:space="0"/>
        </w:rPr>
        <w:t> </w:t>
      </w:r>
      <w:r>
        <w:rPr>
          <w:rFonts w:hint="default" w:ascii="Courier New" w:hAnsi="Courier New" w:cs="Courier New"/>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rPr>
        <w:t>平台运行服务机构以公共服务为主要职能。主要履行以下职责：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（一）为公共资源交易活动提供场所、设施和服务，承担进场登记、信息发布、交易实施、结果公示等交易服务工作；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（二）负责公共资源交易活动现场秩序管理，执行公共资源交易规则、现场管理制度和工作流程，对交易过程相关资料进行存档备案；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（三）维护和使用省综合评标专家库、政府采购评审专家库网络抽取终端，对专家出勤情况和评标评审活动进行记录；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（四）建设和管理本级公共资源交易电子公共服务系统和信息网络，并按要求实施平台信息化建设与升级；</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（五）收集和发布公共资源交易信息，对交易数据进行汇总分析、综合利用和风险监测预警；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（六）建立和维护本级公共资源交易主体信用信息库，记录交易主体信用信息，推进交易主体信用信息交换共享；</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（七）及时向行政监督部门报告场内交易活动的违法违规行为，并协助调查处理；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（八）省公共资源交易中心负责全省公共资源交易机构的业务指导。</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第三章</w:t>
      </w:r>
      <w:r>
        <w:rPr>
          <w:rFonts w:hint="default" w:ascii="Courier New" w:hAnsi="Courier New" w:cs="Courier New"/>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 交易范围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第十条 </w:t>
      </w:r>
      <w:r>
        <w:rPr>
          <w:rFonts w:hint="default" w:ascii="Courier New" w:hAnsi="Courier New" w:cs="Courier New"/>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rPr>
        <w:t>公共资源交易实行目录制。列入交易目录的项目，应进入公共资源交易平台体系进行交易。下列公共资源交易项目应列入目录</w:t>
      </w:r>
      <w:r>
        <w:rPr>
          <w:rFonts w:hint="default" w:ascii="Courier New" w:hAnsi="Courier New" w:cs="Courier New"/>
          <w:i w:val="0"/>
          <w:iCs w:val="0"/>
          <w:caps w:val="0"/>
          <w:color w:val="000000"/>
          <w:spacing w:val="0"/>
          <w:sz w:val="31"/>
          <w:szCs w:val="31"/>
          <w:bdr w:val="none" w:color="auto" w:sz="0" w:space="0"/>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（一）依法必须进行招标的政府（国有资金）投资的工程建设项目；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（二）政府采购项目；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（三）土地使用权和矿产资源勘查权、开采权；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（四）国有（集体）产权、股权交易；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（五）医药集中采购、二类疫苗和医疗设备、医疗器械、医用耗材采购；</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（六）依法进行的公共债权转让，诉讼（涉案）资产、罚没物品以及国有及国有控股企业破产财产的拍卖；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shd w:val="clear" w:fill="FFFFFF"/>
        </w:rPr>
        <w:t>（七）主要污染物排污权、碳排放权、林权等交易</w:t>
      </w:r>
      <w:r>
        <w:rPr>
          <w:rFonts w:hint="eastAsia" w:ascii="仿宋_GB2312" w:hAnsi="Courier New" w:eastAsia="仿宋_GB2312" w:cs="仿宋_GB2312"/>
          <w:i w:val="0"/>
          <w:iCs w:val="0"/>
          <w:caps w:val="0"/>
          <w:color w:val="000000"/>
          <w:spacing w:val="0"/>
          <w:sz w:val="31"/>
          <w:szCs w:val="31"/>
          <w:bdr w:val="none" w:color="auto" w:sz="0" w:space="0"/>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（八）特许经营权等涉及公共利益、公众安全的公共资源交易。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第十一条</w:t>
      </w:r>
      <w:r>
        <w:rPr>
          <w:rStyle w:val="13"/>
          <w:rFonts w:hint="eastAsia" w:ascii="仿宋_GB2312" w:hAnsi="Courier New" w:eastAsia="仿宋_GB2312" w:cs="仿宋_GB2312"/>
          <w:i w:val="0"/>
          <w:iCs w:val="0"/>
          <w:caps w:val="0"/>
          <w:color w:val="000000"/>
          <w:spacing w:val="0"/>
          <w:sz w:val="31"/>
          <w:szCs w:val="31"/>
          <w:bdr w:val="none" w:color="auto" w:sz="0" w:space="0"/>
        </w:rPr>
        <w:t> </w:t>
      </w:r>
      <w:r>
        <w:rPr>
          <w:rFonts w:hint="default" w:ascii="Courier New" w:hAnsi="Courier New" w:cs="Courier New"/>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rPr>
        <w:t>鼓励未列入交易目录的公共资源交易项目及非公共资源交易项目进入公共资源交易平台体系开展交易活动。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第十二条</w:t>
      </w:r>
      <w:r>
        <w:rPr>
          <w:rFonts w:hint="default" w:ascii="Courier New" w:hAnsi="Courier New" w:cs="Courier New"/>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rPr>
        <w:t> 省公共资源交易管理委员会办公室根据实际情况，对交易目录实行动态管理。拟定动态调整意见，公开听取意见，报省政府批准后，向社会公布实施。各地</w:t>
      </w:r>
      <w:r>
        <w:rPr>
          <w:rFonts w:hint="eastAsia" w:ascii="仿宋_GB2312" w:hAnsi="Courier New" w:eastAsia="仿宋_GB2312" w:cs="仿宋_GB2312"/>
          <w:i w:val="0"/>
          <w:iCs w:val="0"/>
          <w:caps w:val="0"/>
          <w:color w:val="000000"/>
          <w:spacing w:val="0"/>
          <w:sz w:val="31"/>
          <w:szCs w:val="31"/>
          <w:bdr w:val="none" w:color="auto" w:sz="0" w:space="0"/>
          <w:shd w:val="clear" w:fill="FFFFFF"/>
        </w:rPr>
        <w:t>可结合实际增加进场交易项目。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第四章</w:t>
      </w:r>
      <w:r>
        <w:rPr>
          <w:rFonts w:hint="default" w:ascii="Courier New" w:hAnsi="Courier New" w:cs="Courier New"/>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 交易规则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第十三条</w:t>
      </w:r>
      <w:r>
        <w:rPr>
          <w:rFonts w:hint="eastAsia" w:ascii="仿宋_GB2312" w:hAnsi="Courier New" w:eastAsia="仿宋_GB2312" w:cs="仿宋_GB2312"/>
          <w:i w:val="0"/>
          <w:iCs w:val="0"/>
          <w:caps w:val="0"/>
          <w:color w:val="000000"/>
          <w:spacing w:val="0"/>
          <w:sz w:val="31"/>
          <w:szCs w:val="31"/>
          <w:bdr w:val="none" w:color="auto" w:sz="0" w:space="0"/>
        </w:rPr>
        <w:t>  公共资源交易管理委员会办公室会同有关行政监督部门分类制定完善交易规则，统一制定受理登记、信息发布、专家选取、评标议标、保证金收退、资料保存、监督监控等交易各环节标准和制度，规范交易流程。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第十四条</w:t>
      </w:r>
      <w:r>
        <w:rPr>
          <w:rFonts w:hint="default" w:ascii="Courier New" w:hAnsi="Courier New" w:cs="Courier New"/>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rPr>
        <w:t> 进入公共资源交易平台体系的项目，应按照下列规定进行交易</w:t>
      </w:r>
      <w:r>
        <w:rPr>
          <w:rFonts w:hint="default" w:ascii="Courier New" w:hAnsi="Courier New" w:cs="Courier New"/>
          <w:i w:val="0"/>
          <w:iCs w:val="0"/>
          <w:caps w:val="0"/>
          <w:color w:val="000000"/>
          <w:spacing w:val="0"/>
          <w:sz w:val="31"/>
          <w:szCs w:val="31"/>
          <w:bdr w:val="none" w:color="auto" w:sz="0" w:space="0"/>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（一）招标人在公共资源交易平台办理招标登记，平台运行服务机构应及时安排具体交易事宜；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（二）招标人在指定媒介公开发布交易公告，在公共资源交易平台网上公开发售招标文件；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（三）投标人根据招标文件规定提交保证金，平台运行服务机构应认真落实保证金代收代退制度，按照有关规定代收代退保证金；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（四）招标人按照招标文件规定，组织抽取专家组成评标委员会进行评审；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（五）招标人应当按照有关规定进行公示或公告，及时发送中标（成交）通知书；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（六）招标人与中标人应在规定时间内签订书面合同；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（七）进入公共资源交易平台体系的企业国有产权交易项目，应满足国资监管机构对交易业务动态监测的要求，具体操作规程按国家和我省有关规定执行；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（八）各平台运行服务机构应将交易服务过程中产生的电子文档、纸质资料和音视频等，按有关规定归档保存，保存期限不少于十五年，并提供查询服务。招标人依法需要保存的，平台运行服务机构应向其提供。</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本办法所列招标人，包括采购人、出让转让方、拍卖人、招标代理机构、采购代理机构、出让转让代理机构等；所列投标人，包括供应商、意向受让方、竞买人等。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第十五条</w:t>
      </w:r>
      <w:r>
        <w:rPr>
          <w:rFonts w:hint="default" w:ascii="Courier New" w:hAnsi="Courier New" w:cs="Courier New"/>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rPr>
        <w:t> 平台运行服务机构及其工作人员不得有下列行为</w:t>
      </w:r>
      <w:r>
        <w:rPr>
          <w:rFonts w:hint="default" w:ascii="Courier New" w:hAnsi="Courier New" w:cs="Courier New"/>
          <w:i w:val="0"/>
          <w:iCs w:val="0"/>
          <w:caps w:val="0"/>
          <w:color w:val="000000"/>
          <w:spacing w:val="0"/>
          <w:sz w:val="31"/>
          <w:szCs w:val="31"/>
          <w:bdr w:val="none" w:color="auto" w:sz="0" w:space="0"/>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（一）行使任何审批、核准、备案等行政管理职能；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（二）违法从事或强制指定招标、拍卖、工程造价等中介服务；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（三）强制公共资源交易目录之外的项目进入平台交易；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（四）强制扣押企业和人员的相关证照资料；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（五）通过设置注册登记、设立分支机构、资质验证、投标许可、强制担保、会员登记等限制性条件阻碍或排斥其他地方市场主体进入本地公共资源交易市场；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（六）要求企业法定代表人到场办理相关手续；</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（七）取代依法设立的政府集中采购机构的法人地位、法定代表权以及依法设立的其他交易机构和代理机构从事的相关服务；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（八）其他违反法律、法规及有关规定的情形。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第十六条</w:t>
      </w:r>
      <w:r>
        <w:rPr>
          <w:rFonts w:hint="default" w:ascii="Courier New" w:hAnsi="Courier New" w:cs="Courier New"/>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rPr>
        <w:t> 平台运行服务机构应当按照规定的场所、设施和信息化建设标准，为公共资源交易活动提供必要的现场服务、设施和电子化便捷服务。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第十七条 </w:t>
      </w:r>
      <w:r>
        <w:rPr>
          <w:rFonts w:hint="eastAsia" w:ascii="仿宋_GB2312" w:hAnsi="Courier New" w:eastAsia="仿宋_GB2312" w:cs="仿宋_GB2312"/>
          <w:i w:val="0"/>
          <w:iCs w:val="0"/>
          <w:caps w:val="0"/>
          <w:color w:val="000000"/>
          <w:spacing w:val="0"/>
          <w:sz w:val="31"/>
          <w:szCs w:val="31"/>
          <w:bdr w:val="none" w:color="auto" w:sz="0" w:space="0"/>
        </w:rPr>
        <w:t> 鼓励和支持市场主体依照标准兴办交易平台，经省公共资源交易管理委员会办公室验收达标后，将其纳入到全省统一公共资源交易平台体系，为公共资源交易提供服务。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第十八条</w:t>
      </w:r>
      <w:r>
        <w:rPr>
          <w:rFonts w:hint="eastAsia" w:ascii="仿宋_GB2312" w:hAnsi="Courier New" w:eastAsia="仿宋_GB2312" w:cs="仿宋_GB2312"/>
          <w:i w:val="0"/>
          <w:iCs w:val="0"/>
          <w:caps w:val="0"/>
          <w:color w:val="000000"/>
          <w:spacing w:val="0"/>
          <w:sz w:val="31"/>
          <w:szCs w:val="31"/>
          <w:bdr w:val="none" w:color="auto" w:sz="0" w:space="0"/>
        </w:rPr>
        <w:t>  各交易主体自愿选择公共资源交易平台体系内的任一平台进行交易。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第十九条</w:t>
      </w:r>
      <w:r>
        <w:rPr>
          <w:rFonts w:hint="default" w:ascii="Courier New" w:hAnsi="Courier New" w:cs="Courier New"/>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rPr>
        <w:t> 列入公共资源交易目录的项目，进入公共资源交易平台体系进行交易。政府举办的公共资源交易平台提供公共服务，对工程建设项目招标投标、土地使用权和矿业权出让、国有产权（股权）交易、政府采购等四大类项目交易实行免费服务；其他类项目交易确需收取服务费用的，价格主管部门要严格收费审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第二十条</w:t>
      </w:r>
      <w:r>
        <w:rPr>
          <w:rFonts w:hint="default" w:ascii="Courier New" w:hAnsi="Courier New" w:cs="Courier New"/>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rPr>
        <w:t> 平台运行服务机构在指定媒介发布招标公告、招标文件、资格审查结果、中标（成交）信息、履约信息、变更信息、信用奖惩、以及有关违法违规处罚等依法应当公开的信息。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第二十一条</w:t>
      </w:r>
      <w:r>
        <w:rPr>
          <w:rFonts w:hint="default" w:ascii="Times New Roman" w:hAnsi="Times New Roman" w:eastAsia="宋体" w:cs="Times New Roman"/>
          <w:i w:val="0"/>
          <w:iCs w:val="0"/>
          <w:caps w:val="0"/>
          <w:color w:val="000000"/>
          <w:spacing w:val="0"/>
          <w:sz w:val="31"/>
          <w:szCs w:val="31"/>
          <w:bdr w:val="none" w:color="auto" w:sz="0" w:space="0"/>
        </w:rPr>
        <w:t> </w:t>
      </w:r>
      <w:r>
        <w:rPr>
          <w:rFonts w:hint="eastAsia" w:ascii="仿宋_GB2312" w:hAnsi="宋体" w:eastAsia="仿宋_GB2312" w:cs="仿宋_GB2312"/>
          <w:i w:val="0"/>
          <w:iCs w:val="0"/>
          <w:caps w:val="0"/>
          <w:color w:val="000000"/>
          <w:spacing w:val="0"/>
          <w:sz w:val="31"/>
          <w:szCs w:val="31"/>
          <w:bdr w:val="none" w:color="auto" w:sz="0" w:space="0"/>
        </w:rPr>
        <w:t> </w:t>
      </w:r>
      <w:r>
        <w:rPr>
          <w:rFonts w:hint="eastAsia" w:ascii="仿宋_GB2312" w:hAnsi="Times New Roman" w:eastAsia="仿宋_GB2312" w:cs="仿宋_GB2312"/>
          <w:i w:val="0"/>
          <w:iCs w:val="0"/>
          <w:caps w:val="0"/>
          <w:color w:val="000000"/>
          <w:spacing w:val="0"/>
          <w:sz w:val="31"/>
          <w:szCs w:val="31"/>
          <w:bdr w:val="none" w:color="auto" w:sz="0" w:space="0"/>
        </w:rPr>
        <w:t>交易期间，因不可抗力、交易系统异常、权属存在争议、未依法确定权属、异议或投诉处理未结束，应当中止交易。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第五章</w:t>
      </w:r>
      <w:r>
        <w:rPr>
          <w:rFonts w:hint="default" w:ascii="Courier New" w:hAnsi="Courier New" w:cs="Courier New"/>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监督考核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第二十二条</w:t>
      </w:r>
      <w:r>
        <w:rPr>
          <w:rFonts w:hint="default" w:ascii="Times New Roman" w:hAnsi="Times New Roman" w:eastAsia="宋体" w:cs="Times New Roman"/>
          <w:i w:val="0"/>
          <w:iCs w:val="0"/>
          <w:caps w:val="0"/>
          <w:color w:val="000000"/>
          <w:spacing w:val="0"/>
          <w:sz w:val="31"/>
          <w:szCs w:val="31"/>
          <w:bdr w:val="none" w:color="auto" w:sz="0" w:space="0"/>
        </w:rPr>
        <w:t> </w:t>
      </w:r>
      <w:r>
        <w:rPr>
          <w:rFonts w:hint="eastAsia" w:ascii="仿宋_GB2312" w:hAnsi="宋体" w:eastAsia="仿宋_GB2312" w:cs="仿宋_GB2312"/>
          <w:i w:val="0"/>
          <w:iCs w:val="0"/>
          <w:caps w:val="0"/>
          <w:color w:val="000000"/>
          <w:spacing w:val="0"/>
          <w:sz w:val="31"/>
          <w:szCs w:val="31"/>
          <w:bdr w:val="none" w:color="auto" w:sz="0" w:space="0"/>
        </w:rPr>
        <w:t> </w:t>
      </w:r>
      <w:r>
        <w:rPr>
          <w:rFonts w:hint="eastAsia" w:ascii="仿宋_GB2312" w:hAnsi="Times New Roman" w:eastAsia="仿宋_GB2312" w:cs="仿宋_GB2312"/>
          <w:i w:val="0"/>
          <w:iCs w:val="0"/>
          <w:caps w:val="0"/>
          <w:color w:val="000000"/>
          <w:spacing w:val="0"/>
          <w:sz w:val="31"/>
          <w:szCs w:val="31"/>
          <w:bdr w:val="none" w:color="auto" w:sz="0" w:space="0"/>
        </w:rPr>
        <w:t>行政监督部门按照职责分工，对公共资源交易活动实施行业监督，履行下列职责</w:t>
      </w:r>
      <w:r>
        <w:rPr>
          <w:rFonts w:hint="default" w:ascii="Times New Roman" w:hAnsi="Times New Roman" w:eastAsia="宋体" w:cs="Times New Roman"/>
          <w:i w:val="0"/>
          <w:iCs w:val="0"/>
          <w:caps w:val="0"/>
          <w:color w:val="000000"/>
          <w:spacing w:val="0"/>
          <w:sz w:val="31"/>
          <w:szCs w:val="31"/>
          <w:bdr w:val="none" w:color="auto" w:sz="0" w:space="0"/>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bdr w:val="none" w:color="auto" w:sz="0" w:space="0"/>
        </w:rPr>
        <w:t>（一）</w:t>
      </w:r>
      <w:r>
        <w:rPr>
          <w:rFonts w:hint="eastAsia" w:ascii="仿宋_GB2312" w:hAnsi="Times New Roman" w:eastAsia="仿宋_GB2312" w:cs="仿宋_GB2312"/>
          <w:i w:val="0"/>
          <w:iCs w:val="0"/>
          <w:caps w:val="0"/>
          <w:color w:val="000000"/>
          <w:spacing w:val="0"/>
          <w:sz w:val="31"/>
          <w:szCs w:val="31"/>
          <w:bdr w:val="none" w:color="auto" w:sz="0" w:space="0"/>
        </w:rPr>
        <w:t>拟订本行业公共资源交易监督管理制度，确定本行业公共资源进场项目的范围和规模标准，督促项目统一进场交易；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bdr w:val="none" w:color="auto" w:sz="0" w:space="0"/>
        </w:rPr>
        <w:t>（二）依法对交易活动实施监督，</w:t>
      </w:r>
      <w:r>
        <w:rPr>
          <w:rFonts w:hint="eastAsia" w:ascii="仿宋_GB2312" w:hAnsi="Times New Roman" w:eastAsia="仿宋_GB2312" w:cs="仿宋_GB2312"/>
          <w:i w:val="0"/>
          <w:iCs w:val="0"/>
          <w:caps w:val="0"/>
          <w:color w:val="000000"/>
          <w:spacing w:val="0"/>
          <w:sz w:val="31"/>
          <w:szCs w:val="31"/>
          <w:bdr w:val="none" w:color="auto" w:sz="0" w:space="0"/>
        </w:rPr>
        <w:t>监督交易过程和合同履约情况，处理</w:t>
      </w:r>
      <w:r>
        <w:rPr>
          <w:rFonts w:hint="eastAsia" w:ascii="仿宋_GB2312" w:hAnsi="宋体" w:eastAsia="仿宋_GB2312" w:cs="仿宋_GB2312"/>
          <w:i w:val="0"/>
          <w:iCs w:val="0"/>
          <w:caps w:val="0"/>
          <w:color w:val="000000"/>
          <w:spacing w:val="0"/>
          <w:sz w:val="31"/>
          <w:szCs w:val="31"/>
          <w:bdr w:val="none" w:color="auto" w:sz="0" w:space="0"/>
        </w:rPr>
        <w:t>公共资源交易中出现的</w:t>
      </w:r>
      <w:r>
        <w:rPr>
          <w:rFonts w:hint="eastAsia" w:ascii="仿宋_GB2312" w:hAnsi="Times New Roman" w:eastAsia="仿宋_GB2312" w:cs="仿宋_GB2312"/>
          <w:i w:val="0"/>
          <w:iCs w:val="0"/>
          <w:caps w:val="0"/>
          <w:color w:val="000000"/>
          <w:spacing w:val="0"/>
          <w:sz w:val="31"/>
          <w:szCs w:val="31"/>
          <w:bdr w:val="none" w:color="auto" w:sz="0" w:space="0"/>
        </w:rPr>
        <w:t>投诉</w:t>
      </w:r>
      <w:r>
        <w:rPr>
          <w:rFonts w:hint="eastAsia" w:ascii="仿宋_GB2312" w:hAnsi="宋体" w:eastAsia="仿宋_GB2312" w:cs="仿宋_GB2312"/>
          <w:i w:val="0"/>
          <w:iCs w:val="0"/>
          <w:caps w:val="0"/>
          <w:color w:val="000000"/>
          <w:spacing w:val="0"/>
          <w:sz w:val="31"/>
          <w:szCs w:val="31"/>
          <w:bdr w:val="none" w:color="auto" w:sz="0" w:space="0"/>
        </w:rPr>
        <w:t>和举报，依法查处交易活动中的违法违规行为</w:t>
      </w:r>
      <w:r>
        <w:rPr>
          <w:rFonts w:hint="eastAsia" w:ascii="仿宋_GB2312" w:hAnsi="Times New Roman" w:eastAsia="仿宋_GB2312" w:cs="仿宋_GB2312"/>
          <w:i w:val="0"/>
          <w:iCs w:val="0"/>
          <w:caps w:val="0"/>
          <w:color w:val="000000"/>
          <w:spacing w:val="0"/>
          <w:sz w:val="31"/>
          <w:szCs w:val="31"/>
          <w:bdr w:val="none" w:color="auto" w:sz="0" w:space="0"/>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bdr w:val="none" w:color="auto" w:sz="0" w:space="0"/>
        </w:rPr>
        <w:t>（三）</w:t>
      </w:r>
      <w:r>
        <w:rPr>
          <w:rFonts w:hint="eastAsia" w:ascii="仿宋_GB2312" w:hAnsi="Times New Roman" w:eastAsia="仿宋_GB2312" w:cs="仿宋_GB2312"/>
          <w:i w:val="0"/>
          <w:iCs w:val="0"/>
          <w:caps w:val="0"/>
          <w:color w:val="000000"/>
          <w:spacing w:val="0"/>
          <w:sz w:val="31"/>
          <w:szCs w:val="31"/>
          <w:bdr w:val="none" w:color="auto" w:sz="0" w:space="0"/>
        </w:rPr>
        <w:t>依法监督本行业进场交易项目的信息公开，推进信息数据互通共享；</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bdr w:val="none" w:color="auto" w:sz="0" w:space="0"/>
        </w:rPr>
        <w:t>（四）</w:t>
      </w:r>
      <w:r>
        <w:rPr>
          <w:rFonts w:hint="eastAsia" w:ascii="仿宋_GB2312" w:hAnsi="Times New Roman" w:eastAsia="仿宋_GB2312" w:cs="仿宋_GB2312"/>
          <w:i w:val="0"/>
          <w:iCs w:val="0"/>
          <w:caps w:val="0"/>
          <w:color w:val="000000"/>
          <w:spacing w:val="0"/>
          <w:sz w:val="31"/>
          <w:szCs w:val="31"/>
          <w:bdr w:val="none" w:color="auto" w:sz="0" w:space="0"/>
        </w:rPr>
        <w:t>负责本行业交易主体、代理机构及其从业人员的信用信息管理；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bdr w:val="none" w:color="auto" w:sz="0" w:space="0"/>
        </w:rPr>
        <w:t>（五）</w:t>
      </w:r>
      <w:r>
        <w:rPr>
          <w:rFonts w:hint="eastAsia" w:ascii="仿宋_GB2312" w:hAnsi="Times New Roman" w:eastAsia="仿宋_GB2312" w:cs="仿宋_GB2312"/>
          <w:i w:val="0"/>
          <w:iCs w:val="0"/>
          <w:caps w:val="0"/>
          <w:color w:val="000000"/>
          <w:spacing w:val="0"/>
          <w:sz w:val="31"/>
          <w:szCs w:val="31"/>
          <w:bdr w:val="none" w:color="auto" w:sz="0" w:space="0"/>
        </w:rPr>
        <w:t>协同对公共资源交易中心进行考核评价；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bdr w:val="none" w:color="auto" w:sz="0" w:space="0"/>
        </w:rPr>
        <w:t>（六）</w:t>
      </w:r>
      <w:r>
        <w:rPr>
          <w:rFonts w:hint="eastAsia" w:ascii="仿宋_GB2312" w:hAnsi="Times New Roman" w:eastAsia="仿宋_GB2312" w:cs="仿宋_GB2312"/>
          <w:i w:val="0"/>
          <w:iCs w:val="0"/>
          <w:caps w:val="0"/>
          <w:color w:val="000000"/>
          <w:spacing w:val="0"/>
          <w:sz w:val="31"/>
          <w:szCs w:val="31"/>
          <w:bdr w:val="none" w:color="auto" w:sz="0" w:space="0"/>
        </w:rPr>
        <w:t>参与省综合评标专家库建设和管理。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第二十三条</w:t>
      </w:r>
      <w:r>
        <w:rPr>
          <w:rFonts w:hint="default" w:ascii="Times New Roman" w:hAnsi="Times New Roman" w:eastAsia="宋体" w:cs="Times New Roman"/>
          <w:i w:val="0"/>
          <w:iCs w:val="0"/>
          <w:caps w:val="0"/>
          <w:color w:val="000000"/>
          <w:spacing w:val="0"/>
          <w:sz w:val="31"/>
          <w:szCs w:val="31"/>
          <w:bdr w:val="none" w:color="auto" w:sz="0" w:space="0"/>
        </w:rPr>
        <w:t> </w:t>
      </w:r>
      <w:r>
        <w:rPr>
          <w:rFonts w:hint="eastAsia" w:ascii="仿宋_GB2312" w:hAnsi="宋体" w:eastAsia="仿宋_GB2312" w:cs="仿宋_GB2312"/>
          <w:i w:val="0"/>
          <w:iCs w:val="0"/>
          <w:caps w:val="0"/>
          <w:color w:val="000000"/>
          <w:spacing w:val="0"/>
          <w:sz w:val="31"/>
          <w:szCs w:val="31"/>
          <w:bdr w:val="none" w:color="auto" w:sz="0" w:space="0"/>
        </w:rPr>
        <w:t> </w:t>
      </w:r>
      <w:r>
        <w:rPr>
          <w:rFonts w:hint="eastAsia" w:ascii="仿宋_GB2312" w:hAnsi="Times New Roman" w:eastAsia="仿宋_GB2312" w:cs="仿宋_GB2312"/>
          <w:i w:val="0"/>
          <w:iCs w:val="0"/>
          <w:caps w:val="0"/>
          <w:color w:val="000000"/>
          <w:spacing w:val="0"/>
          <w:sz w:val="31"/>
          <w:szCs w:val="31"/>
          <w:bdr w:val="none" w:color="auto" w:sz="0" w:space="0"/>
        </w:rPr>
        <w:t>监察部门依法对公共资源交易活动有关对象实施行政监察，对违法违规行为进行问责。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审计部门依法对公共资源交易活动涉及资金使用情况实施审计监督。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第二十四条</w:t>
      </w:r>
      <w:r>
        <w:rPr>
          <w:rFonts w:hint="eastAsia" w:ascii="仿宋_GB2312" w:hAnsi="Courier New" w:eastAsia="仿宋_GB2312" w:cs="仿宋_GB2312"/>
          <w:i w:val="0"/>
          <w:iCs w:val="0"/>
          <w:caps w:val="0"/>
          <w:color w:val="000000"/>
          <w:spacing w:val="0"/>
          <w:sz w:val="31"/>
          <w:szCs w:val="31"/>
          <w:bdr w:val="none" w:color="auto" w:sz="0" w:space="0"/>
        </w:rPr>
        <w:t>  有关行政监督部门在公共资源交易活动过程中发现违法违规行为，可能影响交易结果或造成严重损失的，应及时中止交易活动并依法调查处理。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第二十五条</w:t>
      </w:r>
      <w:r>
        <w:rPr>
          <w:rFonts w:hint="eastAsia" w:ascii="仿宋_GB2312" w:hAnsi="宋体" w:eastAsia="仿宋_GB2312" w:cs="仿宋_GB2312"/>
          <w:i w:val="0"/>
          <w:iCs w:val="0"/>
          <w:caps w:val="0"/>
          <w:color w:val="000000"/>
          <w:spacing w:val="0"/>
          <w:sz w:val="31"/>
          <w:szCs w:val="31"/>
          <w:bdr w:val="none" w:color="auto" w:sz="0" w:space="0"/>
        </w:rPr>
        <w:t>  加强社会监督，建立由市场主体以及第三方参与的社会评价机制，对平台运行服务机构提供公共服务情况进行评价。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第二十六条</w:t>
      </w:r>
      <w:r>
        <w:rPr>
          <w:rFonts w:hint="eastAsia" w:ascii="仿宋_GB2312" w:hAnsi="Courier New" w:eastAsia="仿宋_GB2312" w:cs="仿宋_GB2312"/>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shd w:val="clear" w:fill="FFFFFF"/>
        </w:rPr>
        <w:t>综合监管部门、行政监督部门定期实施对平台运行服务机构的考核评价，结果向社会公开。具体考评办法另行制定。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第六章  法律责任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第二十七条</w:t>
      </w:r>
      <w:r>
        <w:rPr>
          <w:rFonts w:hint="default" w:ascii="Courier New" w:hAnsi="Courier New" w:cs="Courier New"/>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rPr>
        <w:t>各方交易主体违反招标投标法律、法规等规定的，投标单位由参与监督的相应的行政监督部门依法予以处罚；评标委员会专家成员由其管理部门依法依规及有关规定进行处理；相关行为记入公共资源交易不良信用记录并予以公布。涉嫌犯罪的，移交司法机关依法追究刑事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第二十八条</w:t>
      </w:r>
      <w:r>
        <w:rPr>
          <w:rFonts w:hint="default" w:ascii="Courier New" w:hAnsi="Courier New" w:cs="Courier New"/>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rPr>
        <w:t>各平台运行服务机构及相关工作人员违反招标投标法律、法规和本办法规定，直接影响交易结果公平公正性的，由公共资源交易综合监管部门或有关行政监督部门责令限期整改，依法给予行政处分。涉嫌犯罪的，依法追究刑事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第二十九条</w:t>
      </w:r>
      <w:r>
        <w:rPr>
          <w:rFonts w:hint="default" w:ascii="Courier New" w:hAnsi="Courier New" w:cs="Courier New"/>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rPr>
        <w:t>行政监督部门相关工作人员不履行或不正确履行职责，违规插手交易活动谋取不正当利益，以及有其他严重违纪违法行为且造成严重后果的，由相关主管部门或监察部门按照有关规定追究责任；构成犯罪的，依法追究刑事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第七章  附  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第三十条</w:t>
      </w:r>
      <w:r>
        <w:rPr>
          <w:rFonts w:hint="default" w:ascii="Times New Roman" w:hAnsi="Times New Roman" w:eastAsia="宋体"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本办法施行期间，如法律法规</w:t>
      </w:r>
      <w:r>
        <w:rPr>
          <w:rFonts w:hint="eastAsia" w:ascii="仿宋_GB2312" w:hAnsi="宋体" w:eastAsia="仿宋_GB2312" w:cs="仿宋_GB2312"/>
          <w:i w:val="0"/>
          <w:iCs w:val="0"/>
          <w:caps w:val="0"/>
          <w:color w:val="000000"/>
          <w:spacing w:val="0"/>
          <w:sz w:val="31"/>
          <w:szCs w:val="31"/>
          <w:bdr w:val="none" w:color="auto" w:sz="0" w:space="0"/>
          <w:shd w:val="clear" w:fill="FFFFFF"/>
        </w:rPr>
        <w:t>有</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新</w:t>
      </w:r>
      <w:r>
        <w:rPr>
          <w:rFonts w:hint="eastAsia" w:ascii="仿宋_GB2312" w:hAnsi="宋体" w:eastAsia="仿宋_GB2312" w:cs="仿宋_GB2312"/>
          <w:i w:val="0"/>
          <w:iCs w:val="0"/>
          <w:caps w:val="0"/>
          <w:color w:val="000000"/>
          <w:spacing w:val="0"/>
          <w:sz w:val="31"/>
          <w:szCs w:val="31"/>
          <w:bdr w:val="none" w:color="auto" w:sz="0" w:space="0"/>
          <w:shd w:val="clear" w:fill="FFFFFF"/>
        </w:rPr>
        <w:t>规定</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eastAsia" w:ascii="仿宋_GB2312" w:hAnsi="宋体" w:eastAsia="仿宋_GB2312" w:cs="仿宋_GB2312"/>
          <w:i w:val="0"/>
          <w:iCs w:val="0"/>
          <w:caps w:val="0"/>
          <w:color w:val="000000"/>
          <w:spacing w:val="0"/>
          <w:sz w:val="31"/>
          <w:szCs w:val="31"/>
          <w:bdr w:val="none" w:color="auto" w:sz="0" w:space="0"/>
          <w:shd w:val="clear" w:fill="FFFFFF"/>
        </w:rPr>
        <w:t>及时对本办法进行修订。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第三十一条 </w:t>
      </w:r>
      <w:r>
        <w:rPr>
          <w:rStyle w:val="13"/>
          <w:rFonts w:hint="eastAsia" w:ascii="仿宋_GB2312" w:hAnsi="Courier New" w:eastAsia="仿宋_GB2312" w:cs="仿宋_GB2312"/>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rPr>
        <w:t>本办法自公布之日起施行；《河南省人民政府关于印发河南省省级公共资源交易监督管理办法（试行）的通知》（豫政〔</w:t>
      </w:r>
      <w:r>
        <w:rPr>
          <w:rFonts w:hint="default" w:ascii="Courier New" w:hAnsi="Courier New" w:cs="Courier New"/>
          <w:i w:val="0"/>
          <w:iCs w:val="0"/>
          <w:caps w:val="0"/>
          <w:color w:val="000000"/>
          <w:spacing w:val="0"/>
          <w:sz w:val="31"/>
          <w:szCs w:val="31"/>
          <w:bdr w:val="none" w:color="auto" w:sz="0" w:space="0"/>
        </w:rPr>
        <w:t>2015</w:t>
      </w:r>
      <w:r>
        <w:rPr>
          <w:rFonts w:hint="eastAsia" w:ascii="仿宋_GB2312" w:hAnsi="Courier New" w:eastAsia="仿宋_GB2312" w:cs="仿宋_GB2312"/>
          <w:i w:val="0"/>
          <w:iCs w:val="0"/>
          <w:caps w:val="0"/>
          <w:color w:val="000000"/>
          <w:spacing w:val="0"/>
          <w:sz w:val="31"/>
          <w:szCs w:val="31"/>
          <w:bdr w:val="none" w:color="auto" w:sz="0" w:space="0"/>
        </w:rPr>
        <w:t>〕</w:t>
      </w:r>
      <w:r>
        <w:rPr>
          <w:rFonts w:hint="default" w:ascii="Courier New" w:hAnsi="Courier New" w:cs="Courier New"/>
          <w:i w:val="0"/>
          <w:iCs w:val="0"/>
          <w:caps w:val="0"/>
          <w:color w:val="000000"/>
          <w:spacing w:val="0"/>
          <w:sz w:val="31"/>
          <w:szCs w:val="31"/>
          <w:bdr w:val="none" w:color="auto" w:sz="0" w:space="0"/>
        </w:rPr>
        <w:t>85</w:t>
      </w:r>
      <w:r>
        <w:rPr>
          <w:rFonts w:hint="eastAsia" w:ascii="仿宋_GB2312" w:hAnsi="Courier New" w:eastAsia="仿宋_GB2312" w:cs="仿宋_GB2312"/>
          <w:i w:val="0"/>
          <w:iCs w:val="0"/>
          <w:caps w:val="0"/>
          <w:color w:val="000000"/>
          <w:spacing w:val="0"/>
          <w:sz w:val="31"/>
          <w:szCs w:val="31"/>
          <w:bdr w:val="none" w:color="auto" w:sz="0" w:space="0"/>
        </w:rPr>
        <w:t>号）同时废止。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第三十二条</w:t>
      </w:r>
      <w:r>
        <w:rPr>
          <w:rFonts w:hint="default" w:ascii="Courier New" w:hAnsi="Courier New" w:cs="Courier New"/>
          <w:i w:val="0"/>
          <w:iCs w:val="0"/>
          <w:caps w:val="0"/>
          <w:color w:val="000000"/>
          <w:spacing w:val="0"/>
          <w:sz w:val="31"/>
          <w:szCs w:val="31"/>
          <w:bdr w:val="none" w:color="auto" w:sz="0" w:space="0"/>
        </w:rPr>
        <w:t>  </w:t>
      </w:r>
      <w:r>
        <w:rPr>
          <w:rFonts w:hint="eastAsia" w:ascii="仿宋_GB2312" w:hAnsi="Courier New" w:eastAsia="仿宋_GB2312" w:cs="仿宋_GB2312"/>
          <w:i w:val="0"/>
          <w:iCs w:val="0"/>
          <w:caps w:val="0"/>
          <w:color w:val="000000"/>
          <w:spacing w:val="0"/>
          <w:sz w:val="31"/>
          <w:szCs w:val="31"/>
          <w:bdr w:val="none" w:color="auto" w:sz="0" w:space="0"/>
        </w:rPr>
        <w:t>本办法及《河南省公共资源交易目录》由河南省公共资源交易管理委员会办公室负责解释。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br w:type="textWrapping"/>
      </w:r>
      <w:r>
        <w:rPr>
          <w:rFonts w:hint="eastAsia" w:ascii="黑体" w:hAnsi="宋体" w:eastAsia="黑体" w:cs="黑体"/>
          <w:i w:val="0"/>
          <w:iCs w:val="0"/>
          <w:caps w:val="0"/>
          <w:color w:val="000000"/>
          <w:spacing w:val="0"/>
          <w:sz w:val="31"/>
          <w:szCs w:val="31"/>
          <w:bdr w:val="none" w:color="auto" w:sz="0" w:space="0"/>
        </w:rPr>
        <w:t>附  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leftChars="0" w:right="0" w:firstLine="0" w:firstLineChars="0"/>
        <w:jc w:val="center"/>
        <w:rPr>
          <w:rFonts w:hint="default" w:ascii="Courier New" w:hAnsi="Courier New" w:cs="Courier New"/>
          <w:i w:val="0"/>
          <w:iCs w:val="0"/>
          <w:caps w:val="0"/>
          <w:color w:val="000000"/>
          <w:spacing w:val="0"/>
          <w:sz w:val="31"/>
          <w:szCs w:val="31"/>
        </w:rPr>
      </w:pPr>
      <w:r>
        <w:rPr>
          <w:rFonts w:ascii="方正小标宋简体" w:hAnsi="方正小标宋简体" w:eastAsia="方正小标宋简体" w:cs="方正小标宋简体"/>
          <w:i w:val="0"/>
          <w:iCs w:val="0"/>
          <w:caps w:val="0"/>
          <w:color w:val="000000"/>
          <w:spacing w:val="0"/>
          <w:sz w:val="43"/>
          <w:szCs w:val="43"/>
          <w:bdr w:val="none" w:color="auto" w:sz="0" w:space="0"/>
        </w:rPr>
        <w:t>河南省公共资源交易目录（2017年本）</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default" w:ascii="Courier New" w:hAnsi="Courier New" w:cs="Courier New"/>
          <w:i w:val="0"/>
          <w:iCs w:val="0"/>
          <w:caps w:val="0"/>
          <w:color w:val="000000"/>
          <w:spacing w:val="0"/>
          <w:sz w:val="31"/>
          <w:szCs w:val="31"/>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一、工程建设类项目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5"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依法必须进行招标的工程建设项目，即政府投（融）资和国有企业投资控股或占主导地位的依法必须招标的工程建设项目（新建、改建、扩建及其相关的装修、拆除、维修等）的勘察、设计、施工、监理，与上述工程建设有关的重要设备和材料采购等，应进入公共资源交易平台体系进行交易。具体范围如下：</w:t>
      </w:r>
    </w:p>
    <w:tbl>
      <w:tblPr>
        <w:tblW w:w="0" w:type="auto"/>
        <w:tblCellSpacing w:w="0" w:type="dxa"/>
        <w:tblInd w:w="-8"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tblLayout w:type="autofit"/>
        <w:tblCellMar>
          <w:top w:w="0" w:type="dxa"/>
          <w:left w:w="0" w:type="dxa"/>
          <w:bottom w:w="0" w:type="dxa"/>
          <w:right w:w="0" w:type="dxa"/>
        </w:tblCellMar>
      </w:tblPr>
      <w:tblGrid>
        <w:gridCol w:w="1005"/>
        <w:gridCol w:w="1065"/>
        <w:gridCol w:w="6615"/>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tblCellMar>
            <w:top w:w="0" w:type="dxa"/>
            <w:left w:w="0" w:type="dxa"/>
            <w:bottom w:w="0" w:type="dxa"/>
            <w:right w:w="0" w:type="dxa"/>
          </w:tblCellMar>
        </w:tblPrEx>
        <w:trPr>
          <w:trHeight w:val="720" w:hRule="atLeast"/>
          <w:tblCellSpacing w:w="0" w:type="dxa"/>
        </w:trPr>
        <w:tc>
          <w:tcPr>
            <w:tcW w:w="100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eastAsia"/>
                <w:b w:val="0"/>
                <w:bCs w:val="0"/>
              </w:rPr>
              <w:t>编号</w:t>
            </w:r>
          </w:p>
        </w:tc>
        <w:tc>
          <w:tcPr>
            <w:tcW w:w="106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eastAsia"/>
                <w:b w:val="0"/>
                <w:bCs w:val="0"/>
              </w:rPr>
              <w:t>类别</w:t>
            </w:r>
          </w:p>
        </w:tc>
        <w:tc>
          <w:tcPr>
            <w:tcW w:w="661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eastAsia"/>
                <w:b w:val="0"/>
                <w:bCs w:val="0"/>
              </w:rPr>
              <w:t>范   围</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tblCellMar>
            <w:top w:w="0" w:type="dxa"/>
            <w:left w:w="0" w:type="dxa"/>
            <w:bottom w:w="0" w:type="dxa"/>
            <w:right w:w="0" w:type="dxa"/>
          </w:tblCellMar>
        </w:tblPrEx>
        <w:trPr>
          <w:trHeight w:val="2685" w:hRule="atLeast"/>
          <w:tblCellSpacing w:w="0" w:type="dxa"/>
        </w:trPr>
        <w:tc>
          <w:tcPr>
            <w:tcW w:w="100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default"/>
                <w:b w:val="0"/>
                <w:bCs w:val="0"/>
              </w:rPr>
              <w:t>G01</w:t>
            </w:r>
          </w:p>
        </w:tc>
        <w:tc>
          <w:tcPr>
            <w:tcW w:w="106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eastAsia"/>
                <w:b w:val="0"/>
                <w:bCs w:val="0"/>
              </w:rPr>
              <w:t>房屋</w:t>
            </w:r>
          </w:p>
          <w:p>
            <w:pPr>
              <w:pStyle w:val="8"/>
              <w:bidi w:val="0"/>
              <w:jc w:val="center"/>
              <w:rPr>
                <w:rFonts w:hint="default"/>
                <w:b w:val="0"/>
                <w:bCs w:val="0"/>
              </w:rPr>
            </w:pPr>
            <w:r>
              <w:rPr>
                <w:rFonts w:hint="eastAsia"/>
                <w:b w:val="0"/>
                <w:bCs w:val="0"/>
              </w:rPr>
              <w:t>建筑</w:t>
            </w:r>
          </w:p>
          <w:p>
            <w:pPr>
              <w:pStyle w:val="8"/>
              <w:bidi w:val="0"/>
              <w:jc w:val="center"/>
              <w:rPr>
                <w:rFonts w:hint="default"/>
                <w:b w:val="0"/>
                <w:bCs w:val="0"/>
              </w:rPr>
            </w:pPr>
            <w:r>
              <w:rPr>
                <w:rFonts w:hint="eastAsia"/>
                <w:b w:val="0"/>
                <w:bCs w:val="0"/>
              </w:rPr>
              <w:t>工程</w:t>
            </w:r>
          </w:p>
        </w:tc>
        <w:tc>
          <w:tcPr>
            <w:tcW w:w="6615" w:type="dxa"/>
            <w:tcBorders>
              <w:tl2br w:val="nil"/>
              <w:tr2bl w:val="nil"/>
            </w:tcBorders>
            <w:shd w:val="clear"/>
            <w:tcMar>
              <w:left w:w="105" w:type="dxa"/>
              <w:right w:w="105" w:type="dxa"/>
            </w:tcMar>
            <w:vAlign w:val="center"/>
          </w:tcPr>
          <w:p>
            <w:pPr>
              <w:pStyle w:val="8"/>
              <w:bidi w:val="0"/>
              <w:rPr>
                <w:rFonts w:hint="default"/>
                <w:b w:val="0"/>
                <w:bCs w:val="0"/>
              </w:rPr>
            </w:pPr>
            <w:r>
              <w:rPr>
                <w:rFonts w:hint="eastAsia"/>
                <w:b w:val="0"/>
                <w:bCs w:val="0"/>
              </w:rPr>
              <w:t>工业与公共建筑（建筑物、构筑物）工程。工程内容包括一般公共建筑、高耸构筑工程、住宅工程的地基与基础工程，土石方工程，结构工程，屋面工程，内、外部的装修装饰工程，上下水、供暖、电器、卫生洁具、通风、照明、消防、防雷等安装工程，以及建筑幕墙、钢结构、电梯安装、建筑防水、爆破与拆除、建筑智能化等专业工程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tblCellMar>
            <w:top w:w="0" w:type="dxa"/>
            <w:left w:w="0" w:type="dxa"/>
            <w:bottom w:w="0" w:type="dxa"/>
            <w:right w:w="0" w:type="dxa"/>
          </w:tblCellMar>
        </w:tblPrEx>
        <w:trPr>
          <w:trHeight w:val="1425" w:hRule="atLeast"/>
          <w:tblCellSpacing w:w="0" w:type="dxa"/>
        </w:trPr>
        <w:tc>
          <w:tcPr>
            <w:tcW w:w="100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default"/>
                <w:b w:val="0"/>
                <w:bCs w:val="0"/>
              </w:rPr>
              <w:t>G02</w:t>
            </w:r>
          </w:p>
        </w:tc>
        <w:tc>
          <w:tcPr>
            <w:tcW w:w="106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eastAsia"/>
                <w:b w:val="0"/>
                <w:bCs w:val="0"/>
              </w:rPr>
              <w:t>市政</w:t>
            </w:r>
          </w:p>
          <w:p>
            <w:pPr>
              <w:pStyle w:val="8"/>
              <w:bidi w:val="0"/>
              <w:jc w:val="center"/>
              <w:rPr>
                <w:rFonts w:hint="default"/>
                <w:b w:val="0"/>
                <w:bCs w:val="0"/>
              </w:rPr>
            </w:pPr>
            <w:r>
              <w:rPr>
                <w:rFonts w:hint="eastAsia"/>
                <w:b w:val="0"/>
                <w:bCs w:val="0"/>
              </w:rPr>
              <w:t>公用</w:t>
            </w:r>
          </w:p>
          <w:p>
            <w:pPr>
              <w:pStyle w:val="8"/>
              <w:bidi w:val="0"/>
              <w:jc w:val="center"/>
              <w:rPr>
                <w:rFonts w:hint="default"/>
                <w:b w:val="0"/>
                <w:bCs w:val="0"/>
              </w:rPr>
            </w:pPr>
            <w:r>
              <w:rPr>
                <w:rFonts w:hint="eastAsia"/>
                <w:b w:val="0"/>
                <w:bCs w:val="0"/>
              </w:rPr>
              <w:t>工程</w:t>
            </w:r>
          </w:p>
        </w:tc>
        <w:tc>
          <w:tcPr>
            <w:tcW w:w="6615" w:type="dxa"/>
            <w:tcBorders>
              <w:tl2br w:val="nil"/>
              <w:tr2bl w:val="nil"/>
            </w:tcBorders>
            <w:shd w:val="clear"/>
            <w:tcMar>
              <w:left w:w="105" w:type="dxa"/>
              <w:right w:w="105" w:type="dxa"/>
            </w:tcMar>
            <w:vAlign w:val="center"/>
          </w:tcPr>
          <w:p>
            <w:pPr>
              <w:pStyle w:val="8"/>
              <w:bidi w:val="0"/>
              <w:rPr>
                <w:rFonts w:hint="default"/>
                <w:b w:val="0"/>
                <w:bCs w:val="0"/>
              </w:rPr>
            </w:pPr>
            <w:r>
              <w:rPr>
                <w:rFonts w:hint="eastAsia"/>
                <w:b w:val="0"/>
                <w:bCs w:val="0"/>
              </w:rPr>
              <w:t>城市道路、公共交通、公共广场、照明、供水、排水、燃气、热力、园林、环卫、污水处理、垃圾处理、防洪、地下公共设施及附属设施的土建、管道、设备安装工程等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tblCellMar>
            <w:top w:w="0" w:type="dxa"/>
            <w:left w:w="0" w:type="dxa"/>
            <w:bottom w:w="0" w:type="dxa"/>
            <w:right w:w="0" w:type="dxa"/>
          </w:tblCellMar>
        </w:tblPrEx>
        <w:trPr>
          <w:trHeight w:val="1425" w:hRule="atLeast"/>
          <w:tblCellSpacing w:w="0" w:type="dxa"/>
        </w:trPr>
        <w:tc>
          <w:tcPr>
            <w:tcW w:w="100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default"/>
                <w:b w:val="0"/>
                <w:bCs w:val="0"/>
              </w:rPr>
              <w:t>G03</w:t>
            </w:r>
          </w:p>
        </w:tc>
        <w:tc>
          <w:tcPr>
            <w:tcW w:w="106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eastAsia"/>
                <w:b w:val="0"/>
                <w:bCs w:val="0"/>
              </w:rPr>
              <w:t>公路</w:t>
            </w:r>
          </w:p>
          <w:p>
            <w:pPr>
              <w:pStyle w:val="8"/>
              <w:bidi w:val="0"/>
              <w:jc w:val="center"/>
              <w:rPr>
                <w:rFonts w:hint="default"/>
                <w:b w:val="0"/>
                <w:bCs w:val="0"/>
              </w:rPr>
            </w:pPr>
            <w:r>
              <w:rPr>
                <w:rFonts w:hint="eastAsia"/>
                <w:b w:val="0"/>
                <w:bCs w:val="0"/>
              </w:rPr>
              <w:t>工程</w:t>
            </w:r>
          </w:p>
        </w:tc>
        <w:tc>
          <w:tcPr>
            <w:tcW w:w="6615" w:type="dxa"/>
            <w:tcBorders>
              <w:tl2br w:val="nil"/>
              <w:tr2bl w:val="nil"/>
            </w:tcBorders>
            <w:shd w:val="clear"/>
            <w:tcMar>
              <w:left w:w="105" w:type="dxa"/>
              <w:right w:w="105" w:type="dxa"/>
            </w:tcMar>
            <w:vAlign w:val="center"/>
          </w:tcPr>
          <w:p>
            <w:pPr>
              <w:pStyle w:val="8"/>
              <w:bidi w:val="0"/>
              <w:rPr>
                <w:rFonts w:hint="default"/>
                <w:b w:val="0"/>
                <w:bCs w:val="0"/>
              </w:rPr>
            </w:pPr>
            <w:r>
              <w:rPr>
                <w:rFonts w:hint="eastAsia"/>
                <w:b w:val="0"/>
                <w:bCs w:val="0"/>
              </w:rPr>
              <w:t>公路（含厂矿和林业专用公路）及其桥梁、隧道和沿线设施工程（含通信、监控、收费等机电工程、公路交通安全设施、环保工程和沿线附属设施等）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1665" w:hRule="atLeast"/>
          <w:tblCellSpacing w:w="0" w:type="dxa"/>
        </w:trPr>
        <w:tc>
          <w:tcPr>
            <w:tcW w:w="100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default"/>
                <w:b w:val="0"/>
                <w:bCs w:val="0"/>
              </w:rPr>
              <w:t>G04</w:t>
            </w:r>
          </w:p>
        </w:tc>
        <w:tc>
          <w:tcPr>
            <w:tcW w:w="106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eastAsia"/>
                <w:b w:val="0"/>
                <w:bCs w:val="0"/>
              </w:rPr>
              <w:t>铁路</w:t>
            </w:r>
          </w:p>
          <w:p>
            <w:pPr>
              <w:pStyle w:val="8"/>
              <w:bidi w:val="0"/>
              <w:jc w:val="center"/>
              <w:rPr>
                <w:rFonts w:hint="default"/>
                <w:b w:val="0"/>
                <w:bCs w:val="0"/>
              </w:rPr>
            </w:pPr>
            <w:r>
              <w:rPr>
                <w:rFonts w:hint="eastAsia"/>
                <w:b w:val="0"/>
                <w:bCs w:val="0"/>
              </w:rPr>
              <w:t>工程</w:t>
            </w:r>
          </w:p>
        </w:tc>
        <w:tc>
          <w:tcPr>
            <w:tcW w:w="6615" w:type="dxa"/>
            <w:tcBorders>
              <w:tl2br w:val="nil"/>
              <w:tr2bl w:val="nil"/>
            </w:tcBorders>
            <w:shd w:val="clear"/>
            <w:tcMar>
              <w:left w:w="105" w:type="dxa"/>
              <w:right w:w="105" w:type="dxa"/>
            </w:tcMar>
            <w:vAlign w:val="center"/>
          </w:tcPr>
          <w:p>
            <w:pPr>
              <w:pStyle w:val="8"/>
              <w:bidi w:val="0"/>
              <w:rPr>
                <w:rFonts w:hint="default"/>
                <w:b w:val="0"/>
                <w:bCs w:val="0"/>
              </w:rPr>
            </w:pPr>
            <w:r>
              <w:rPr>
                <w:rFonts w:hint="eastAsia"/>
                <w:b w:val="0"/>
                <w:bCs w:val="0"/>
              </w:rPr>
              <w:t>新建、扩建、改建铁路工程，地方或专用铁路、铁路专用线工程等。工程内容包括路基土石方、爆破、桥梁、隧道、大型枢纽、编组站及生产配套设施等单项工程施工等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tblCellMar>
            <w:top w:w="0" w:type="dxa"/>
            <w:left w:w="0" w:type="dxa"/>
            <w:bottom w:w="0" w:type="dxa"/>
            <w:right w:w="0" w:type="dxa"/>
          </w:tblCellMar>
        </w:tblPrEx>
        <w:trPr>
          <w:trHeight w:val="1380" w:hRule="atLeast"/>
          <w:tblCellSpacing w:w="0" w:type="dxa"/>
        </w:trPr>
        <w:tc>
          <w:tcPr>
            <w:tcW w:w="100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default"/>
                <w:b w:val="0"/>
                <w:bCs w:val="0"/>
              </w:rPr>
              <w:t>G05</w:t>
            </w:r>
          </w:p>
        </w:tc>
        <w:tc>
          <w:tcPr>
            <w:tcW w:w="106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eastAsia"/>
                <w:b w:val="0"/>
                <w:bCs w:val="0"/>
              </w:rPr>
              <w:t>水利</w:t>
            </w:r>
          </w:p>
          <w:p>
            <w:pPr>
              <w:pStyle w:val="8"/>
              <w:bidi w:val="0"/>
              <w:jc w:val="center"/>
              <w:rPr>
                <w:rFonts w:hint="default"/>
                <w:b w:val="0"/>
                <w:bCs w:val="0"/>
              </w:rPr>
            </w:pPr>
            <w:r>
              <w:rPr>
                <w:rFonts w:hint="eastAsia"/>
                <w:b w:val="0"/>
                <w:bCs w:val="0"/>
              </w:rPr>
              <w:t>水电</w:t>
            </w:r>
          </w:p>
          <w:p>
            <w:pPr>
              <w:pStyle w:val="8"/>
              <w:bidi w:val="0"/>
              <w:jc w:val="center"/>
              <w:rPr>
                <w:rFonts w:hint="default"/>
                <w:b w:val="0"/>
                <w:bCs w:val="0"/>
              </w:rPr>
            </w:pPr>
            <w:r>
              <w:rPr>
                <w:rFonts w:hint="eastAsia"/>
                <w:b w:val="0"/>
                <w:bCs w:val="0"/>
              </w:rPr>
              <w:t>工程</w:t>
            </w:r>
          </w:p>
        </w:tc>
        <w:tc>
          <w:tcPr>
            <w:tcW w:w="6615" w:type="dxa"/>
            <w:tcBorders>
              <w:tl2br w:val="nil"/>
              <w:tr2bl w:val="nil"/>
            </w:tcBorders>
            <w:shd w:val="clear"/>
            <w:tcMar>
              <w:left w:w="105" w:type="dxa"/>
              <w:right w:w="105" w:type="dxa"/>
            </w:tcMar>
            <w:vAlign w:val="center"/>
          </w:tcPr>
          <w:p>
            <w:pPr>
              <w:pStyle w:val="8"/>
              <w:bidi w:val="0"/>
              <w:rPr>
                <w:rFonts w:hint="default"/>
                <w:b w:val="0"/>
                <w:bCs w:val="0"/>
              </w:rPr>
            </w:pPr>
            <w:r>
              <w:rPr>
                <w:rFonts w:hint="eastAsia"/>
                <w:b w:val="0"/>
                <w:bCs w:val="0"/>
              </w:rPr>
              <w:t>各类水利水电工程，包括挡水工程、泄水工程、引水工程、灌溉工程、防洪工程、发电工程、泵站、水闸、河道、堤防、水文、水资源、水保等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tblCellMar>
            <w:top w:w="0" w:type="dxa"/>
            <w:left w:w="0" w:type="dxa"/>
            <w:bottom w:w="0" w:type="dxa"/>
            <w:right w:w="0" w:type="dxa"/>
          </w:tblCellMar>
        </w:tblPrEx>
        <w:trPr>
          <w:trHeight w:val="870" w:hRule="atLeast"/>
          <w:tblCellSpacing w:w="0" w:type="dxa"/>
        </w:trPr>
        <w:tc>
          <w:tcPr>
            <w:tcW w:w="100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default"/>
                <w:b w:val="0"/>
                <w:bCs w:val="0"/>
              </w:rPr>
              <w:t>G06</w:t>
            </w:r>
          </w:p>
        </w:tc>
        <w:tc>
          <w:tcPr>
            <w:tcW w:w="106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eastAsia"/>
                <w:b w:val="0"/>
                <w:bCs w:val="0"/>
              </w:rPr>
              <w:t>电力</w:t>
            </w:r>
          </w:p>
          <w:p>
            <w:pPr>
              <w:pStyle w:val="8"/>
              <w:bidi w:val="0"/>
              <w:jc w:val="center"/>
              <w:rPr>
                <w:rFonts w:hint="default"/>
                <w:b w:val="0"/>
                <w:bCs w:val="0"/>
              </w:rPr>
            </w:pPr>
            <w:r>
              <w:rPr>
                <w:rFonts w:hint="eastAsia"/>
                <w:b w:val="0"/>
                <w:bCs w:val="0"/>
              </w:rPr>
              <w:t>工程</w:t>
            </w:r>
          </w:p>
        </w:tc>
        <w:tc>
          <w:tcPr>
            <w:tcW w:w="6615" w:type="dxa"/>
            <w:tcBorders>
              <w:tl2br w:val="nil"/>
              <w:tr2bl w:val="nil"/>
            </w:tcBorders>
            <w:shd w:val="clear"/>
            <w:tcMar>
              <w:left w:w="105" w:type="dxa"/>
              <w:right w:w="105" w:type="dxa"/>
            </w:tcMar>
            <w:vAlign w:val="center"/>
          </w:tcPr>
          <w:p>
            <w:pPr>
              <w:pStyle w:val="8"/>
              <w:bidi w:val="0"/>
              <w:rPr>
                <w:rFonts w:hint="default"/>
                <w:b w:val="0"/>
                <w:bCs w:val="0"/>
              </w:rPr>
            </w:pPr>
            <w:r>
              <w:rPr>
                <w:rFonts w:hint="eastAsia"/>
                <w:b w:val="0"/>
                <w:bCs w:val="0"/>
              </w:rPr>
              <w:t>火电站、核电站、风力电站、太阳能电站工程，送变电工程等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tblCellMar>
            <w:top w:w="0" w:type="dxa"/>
            <w:left w:w="0" w:type="dxa"/>
            <w:bottom w:w="0" w:type="dxa"/>
            <w:right w:w="0" w:type="dxa"/>
          </w:tblCellMar>
        </w:tblPrEx>
        <w:trPr>
          <w:trHeight w:val="2745" w:hRule="atLeast"/>
          <w:tblCellSpacing w:w="0" w:type="dxa"/>
        </w:trPr>
        <w:tc>
          <w:tcPr>
            <w:tcW w:w="100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default"/>
                <w:b w:val="0"/>
                <w:bCs w:val="0"/>
              </w:rPr>
              <w:t>G07</w:t>
            </w:r>
          </w:p>
        </w:tc>
        <w:tc>
          <w:tcPr>
            <w:tcW w:w="106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eastAsia"/>
                <w:b w:val="0"/>
                <w:bCs w:val="0"/>
              </w:rPr>
              <w:t>通信</w:t>
            </w:r>
          </w:p>
          <w:p>
            <w:pPr>
              <w:pStyle w:val="8"/>
              <w:bidi w:val="0"/>
              <w:jc w:val="center"/>
              <w:rPr>
                <w:rFonts w:hint="default"/>
                <w:b w:val="0"/>
                <w:bCs w:val="0"/>
              </w:rPr>
            </w:pPr>
            <w:r>
              <w:rPr>
                <w:rFonts w:hint="eastAsia"/>
                <w:b w:val="0"/>
                <w:bCs w:val="0"/>
              </w:rPr>
              <w:t>工程</w:t>
            </w:r>
          </w:p>
        </w:tc>
        <w:tc>
          <w:tcPr>
            <w:tcW w:w="6615" w:type="dxa"/>
            <w:tcBorders>
              <w:tl2br w:val="nil"/>
              <w:tr2bl w:val="nil"/>
            </w:tcBorders>
            <w:shd w:val="clear"/>
            <w:tcMar>
              <w:left w:w="105" w:type="dxa"/>
              <w:right w:w="105" w:type="dxa"/>
            </w:tcMar>
            <w:vAlign w:val="center"/>
          </w:tcPr>
          <w:p>
            <w:pPr>
              <w:pStyle w:val="8"/>
              <w:bidi w:val="0"/>
              <w:rPr>
                <w:rFonts w:hint="default"/>
                <w:b w:val="0"/>
                <w:bCs w:val="0"/>
              </w:rPr>
            </w:pPr>
            <w:r>
              <w:rPr>
                <w:rFonts w:hint="eastAsia"/>
                <w:b w:val="0"/>
                <w:bCs w:val="0"/>
              </w:rPr>
              <w:t>各类通信信息网络工程（含有线、无线传输通信工程，卫星、综合布线；邮政、电信、广播枢纽及交换工程；发射台工程等）。工程内容包括长途线路、本地网电缆线路、本地网光缆线路、信管道工程，电话交换工程，卫星地球站工程，移动通信基站工程，微波通信工程，传输设备的安装、调测工程，数据通信及计算机网络工程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tblCellMar>
            <w:top w:w="0" w:type="dxa"/>
            <w:left w:w="0" w:type="dxa"/>
            <w:bottom w:w="0" w:type="dxa"/>
            <w:right w:w="0" w:type="dxa"/>
          </w:tblCellMar>
        </w:tblPrEx>
        <w:trPr>
          <w:trHeight w:val="1545" w:hRule="atLeast"/>
          <w:tblCellSpacing w:w="0" w:type="dxa"/>
        </w:trPr>
        <w:tc>
          <w:tcPr>
            <w:tcW w:w="100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default"/>
                <w:b w:val="0"/>
                <w:bCs w:val="0"/>
              </w:rPr>
              <w:t>G08</w:t>
            </w:r>
          </w:p>
        </w:tc>
        <w:tc>
          <w:tcPr>
            <w:tcW w:w="106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eastAsia"/>
                <w:b w:val="0"/>
                <w:bCs w:val="0"/>
              </w:rPr>
              <w:t>冶炼</w:t>
            </w:r>
          </w:p>
          <w:p>
            <w:pPr>
              <w:pStyle w:val="8"/>
              <w:bidi w:val="0"/>
              <w:jc w:val="center"/>
              <w:rPr>
                <w:rFonts w:hint="default"/>
                <w:b w:val="0"/>
                <w:bCs w:val="0"/>
              </w:rPr>
            </w:pPr>
            <w:r>
              <w:rPr>
                <w:rFonts w:hint="eastAsia"/>
                <w:b w:val="0"/>
                <w:bCs w:val="0"/>
              </w:rPr>
              <w:t>工程</w:t>
            </w:r>
          </w:p>
        </w:tc>
        <w:tc>
          <w:tcPr>
            <w:tcW w:w="6615" w:type="dxa"/>
            <w:tcBorders>
              <w:tl2br w:val="nil"/>
              <w:tr2bl w:val="nil"/>
            </w:tcBorders>
            <w:shd w:val="clear"/>
            <w:tcMar>
              <w:left w:w="105" w:type="dxa"/>
              <w:right w:w="105" w:type="dxa"/>
            </w:tcMar>
            <w:vAlign w:val="center"/>
          </w:tcPr>
          <w:p>
            <w:pPr>
              <w:pStyle w:val="8"/>
              <w:bidi w:val="0"/>
              <w:rPr>
                <w:rFonts w:hint="default"/>
                <w:b w:val="0"/>
                <w:bCs w:val="0"/>
              </w:rPr>
            </w:pPr>
            <w:r>
              <w:rPr>
                <w:rFonts w:hint="eastAsia"/>
                <w:b w:val="0"/>
                <w:bCs w:val="0"/>
              </w:rPr>
              <w:t>钢铁冶炼、连铸工程、轧钢工程、冶炼辅助工程、有色冶炼工程、建材工程。工程内容包括上述冶金、有色、建材工业的冶炼主体工程、配套工程及生产辅助附属工程等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tblCellMar>
            <w:top w:w="0" w:type="dxa"/>
            <w:left w:w="0" w:type="dxa"/>
            <w:bottom w:w="0" w:type="dxa"/>
            <w:right w:w="0" w:type="dxa"/>
          </w:tblCellMar>
        </w:tblPrEx>
        <w:trPr>
          <w:trHeight w:val="1755" w:hRule="atLeast"/>
          <w:tblCellSpacing w:w="0" w:type="dxa"/>
        </w:trPr>
        <w:tc>
          <w:tcPr>
            <w:tcW w:w="100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default"/>
                <w:b w:val="0"/>
                <w:bCs w:val="0"/>
              </w:rPr>
              <w:t>G09</w:t>
            </w:r>
          </w:p>
        </w:tc>
        <w:tc>
          <w:tcPr>
            <w:tcW w:w="106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eastAsia"/>
                <w:b w:val="0"/>
                <w:bCs w:val="0"/>
              </w:rPr>
              <w:t>矿山</w:t>
            </w:r>
          </w:p>
          <w:p>
            <w:pPr>
              <w:pStyle w:val="8"/>
              <w:bidi w:val="0"/>
              <w:jc w:val="center"/>
              <w:rPr>
                <w:rFonts w:hint="default"/>
                <w:b w:val="0"/>
                <w:bCs w:val="0"/>
              </w:rPr>
            </w:pPr>
            <w:r>
              <w:rPr>
                <w:rFonts w:hint="eastAsia"/>
                <w:b w:val="0"/>
                <w:bCs w:val="0"/>
              </w:rPr>
              <w:t>工程</w:t>
            </w:r>
          </w:p>
        </w:tc>
        <w:tc>
          <w:tcPr>
            <w:tcW w:w="6615" w:type="dxa"/>
            <w:tcBorders>
              <w:tl2br w:val="nil"/>
              <w:tr2bl w:val="nil"/>
            </w:tcBorders>
            <w:shd w:val="clear"/>
            <w:tcMar>
              <w:left w:w="105" w:type="dxa"/>
              <w:right w:w="105" w:type="dxa"/>
            </w:tcMar>
            <w:vAlign w:val="center"/>
          </w:tcPr>
          <w:p>
            <w:pPr>
              <w:pStyle w:val="8"/>
              <w:bidi w:val="0"/>
              <w:rPr>
                <w:rFonts w:hint="default"/>
                <w:b w:val="0"/>
                <w:bCs w:val="0"/>
              </w:rPr>
            </w:pPr>
            <w:r>
              <w:rPr>
                <w:rFonts w:hint="eastAsia"/>
                <w:b w:val="0"/>
                <w:bCs w:val="0"/>
              </w:rPr>
              <w:t>煤矿工程、冶金矿山工程、化工矿山工程、铀矿工程、建材类非金属矿工程。工程内容包括井巷工程、露天矿工程、选矿工程、尾矿工程、生产辅助附属工程及配套工程等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tblCellMar>
            <w:top w:w="0" w:type="dxa"/>
            <w:left w:w="0" w:type="dxa"/>
            <w:bottom w:w="0" w:type="dxa"/>
            <w:right w:w="0" w:type="dxa"/>
          </w:tblCellMar>
        </w:tblPrEx>
        <w:trPr>
          <w:trHeight w:val="1935" w:hRule="atLeast"/>
          <w:tblCellSpacing w:w="0" w:type="dxa"/>
        </w:trPr>
        <w:tc>
          <w:tcPr>
            <w:tcW w:w="100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default"/>
                <w:b w:val="0"/>
                <w:bCs w:val="0"/>
              </w:rPr>
              <w:t>G10</w:t>
            </w:r>
          </w:p>
        </w:tc>
        <w:tc>
          <w:tcPr>
            <w:tcW w:w="106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eastAsia"/>
                <w:b w:val="0"/>
                <w:bCs w:val="0"/>
              </w:rPr>
              <w:t>化工</w:t>
            </w:r>
          </w:p>
          <w:p>
            <w:pPr>
              <w:pStyle w:val="8"/>
              <w:bidi w:val="0"/>
              <w:jc w:val="center"/>
              <w:rPr>
                <w:rFonts w:hint="default"/>
                <w:b w:val="0"/>
                <w:bCs w:val="0"/>
              </w:rPr>
            </w:pPr>
            <w:r>
              <w:rPr>
                <w:rFonts w:hint="eastAsia"/>
                <w:b w:val="0"/>
                <w:bCs w:val="0"/>
              </w:rPr>
              <w:t>石油</w:t>
            </w:r>
          </w:p>
          <w:p>
            <w:pPr>
              <w:pStyle w:val="8"/>
              <w:bidi w:val="0"/>
              <w:jc w:val="center"/>
              <w:rPr>
                <w:rFonts w:hint="default"/>
                <w:b w:val="0"/>
                <w:bCs w:val="0"/>
              </w:rPr>
            </w:pPr>
            <w:r>
              <w:rPr>
                <w:rFonts w:hint="eastAsia"/>
                <w:b w:val="0"/>
                <w:bCs w:val="0"/>
              </w:rPr>
              <w:t>工程</w:t>
            </w:r>
          </w:p>
        </w:tc>
        <w:tc>
          <w:tcPr>
            <w:tcW w:w="6615" w:type="dxa"/>
            <w:tcBorders>
              <w:tl2br w:val="nil"/>
              <w:tr2bl w:val="nil"/>
            </w:tcBorders>
            <w:shd w:val="clear"/>
            <w:tcMar>
              <w:left w:w="105" w:type="dxa"/>
              <w:right w:w="105" w:type="dxa"/>
            </w:tcMar>
            <w:vAlign w:val="center"/>
          </w:tcPr>
          <w:p>
            <w:pPr>
              <w:pStyle w:val="8"/>
              <w:bidi w:val="0"/>
              <w:rPr>
                <w:rFonts w:hint="default"/>
                <w:b w:val="0"/>
                <w:bCs w:val="0"/>
              </w:rPr>
            </w:pPr>
            <w:r>
              <w:rPr>
                <w:rFonts w:hint="eastAsia"/>
                <w:b w:val="0"/>
                <w:bCs w:val="0"/>
              </w:rPr>
              <w:t>油田工程、油气储运工程、炼油化工工程、基本原材料工程、化肥工程、酸碱工程、轮胎工程、核化工及加工工程、医药及其他化工工程。工程内容包括上述化工、石油和石油化工的主体工程、配套工程及生产辅助附属工程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tblCellMar>
            <w:top w:w="0" w:type="dxa"/>
            <w:left w:w="0" w:type="dxa"/>
            <w:bottom w:w="0" w:type="dxa"/>
            <w:right w:w="0" w:type="dxa"/>
          </w:tblCellMar>
        </w:tblPrEx>
        <w:trPr>
          <w:trHeight w:val="1455" w:hRule="atLeast"/>
          <w:tblCellSpacing w:w="0" w:type="dxa"/>
        </w:trPr>
        <w:tc>
          <w:tcPr>
            <w:tcW w:w="100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default"/>
                <w:b w:val="0"/>
                <w:bCs w:val="0"/>
              </w:rPr>
              <w:t>G11</w:t>
            </w:r>
          </w:p>
        </w:tc>
        <w:tc>
          <w:tcPr>
            <w:tcW w:w="106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eastAsia"/>
                <w:b w:val="0"/>
                <w:bCs w:val="0"/>
              </w:rPr>
              <w:t>农林</w:t>
            </w:r>
          </w:p>
          <w:p>
            <w:pPr>
              <w:pStyle w:val="8"/>
              <w:bidi w:val="0"/>
              <w:jc w:val="center"/>
              <w:rPr>
                <w:rFonts w:hint="default"/>
                <w:b w:val="0"/>
                <w:bCs w:val="0"/>
              </w:rPr>
            </w:pPr>
            <w:r>
              <w:rPr>
                <w:rFonts w:hint="eastAsia"/>
                <w:b w:val="0"/>
                <w:bCs w:val="0"/>
              </w:rPr>
              <w:t>工程</w:t>
            </w:r>
          </w:p>
        </w:tc>
        <w:tc>
          <w:tcPr>
            <w:tcW w:w="6615" w:type="dxa"/>
            <w:tcBorders>
              <w:tl2br w:val="nil"/>
              <w:tr2bl w:val="nil"/>
            </w:tcBorders>
            <w:shd w:val="clear"/>
            <w:tcMar>
              <w:left w:w="105" w:type="dxa"/>
              <w:right w:w="105" w:type="dxa"/>
            </w:tcMar>
            <w:vAlign w:val="center"/>
          </w:tcPr>
          <w:p>
            <w:pPr>
              <w:pStyle w:val="8"/>
              <w:bidi w:val="0"/>
              <w:rPr>
                <w:rFonts w:hint="default"/>
                <w:b w:val="0"/>
                <w:bCs w:val="0"/>
              </w:rPr>
            </w:pPr>
            <w:r>
              <w:rPr>
                <w:rFonts w:hint="eastAsia"/>
                <w:b w:val="0"/>
                <w:bCs w:val="0"/>
              </w:rPr>
              <w:t>林业基本建设工程、林产工业工程、农业综合开发工程、种植业工程、兽医/畜牧工程、渔业工程、设施农业工程、核设施退役及放射性三废处理处置工程等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tblCellMar>
            <w:top w:w="0" w:type="dxa"/>
            <w:left w:w="0" w:type="dxa"/>
            <w:bottom w:w="0" w:type="dxa"/>
            <w:right w:w="0" w:type="dxa"/>
          </w:tblCellMar>
        </w:tblPrEx>
        <w:trPr>
          <w:trHeight w:val="3195" w:hRule="atLeast"/>
          <w:tblCellSpacing w:w="0" w:type="dxa"/>
        </w:trPr>
        <w:tc>
          <w:tcPr>
            <w:tcW w:w="100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default"/>
                <w:b w:val="0"/>
                <w:bCs w:val="0"/>
              </w:rPr>
              <w:t>G12</w:t>
            </w:r>
          </w:p>
        </w:tc>
        <w:tc>
          <w:tcPr>
            <w:tcW w:w="106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eastAsia"/>
                <w:b w:val="0"/>
                <w:bCs w:val="0"/>
              </w:rPr>
              <w:t>港口与航道工程</w:t>
            </w:r>
          </w:p>
        </w:tc>
        <w:tc>
          <w:tcPr>
            <w:tcW w:w="6615" w:type="dxa"/>
            <w:tcBorders>
              <w:tl2br w:val="nil"/>
              <w:tr2bl w:val="nil"/>
            </w:tcBorders>
            <w:shd w:val="clear"/>
            <w:tcMar>
              <w:left w:w="105" w:type="dxa"/>
              <w:right w:w="105" w:type="dxa"/>
            </w:tcMar>
            <w:vAlign w:val="center"/>
          </w:tcPr>
          <w:p>
            <w:pPr>
              <w:pStyle w:val="8"/>
              <w:bidi w:val="0"/>
              <w:rPr>
                <w:rFonts w:hint="default"/>
                <w:b w:val="0"/>
                <w:bCs w:val="0"/>
              </w:rPr>
            </w:pPr>
            <w:r>
              <w:rPr>
                <w:rFonts w:hint="eastAsia"/>
                <w:b w:val="0"/>
                <w:bCs w:val="0"/>
              </w:rPr>
              <w:t>港口工程、通航建筑与整治工程、航道工程、修造船水工工程、防波堤导流堤等水工工程、沿海水运工程、内河水运工程。工程内容包括码头、防波堤、护岸、堆场道路和陆域构筑物、筒仓、船坞、船台、滑道、船闸、升船机、水下地基及基础、土石方、海上灯塔、航标、栈桥、人工岛及平台、海岸与近海工程、港口装卸设备安装、通航建筑设备安装、河海航道整治与渠化工程、疏浚与吹填造地、水下开挖与清障、水下炸礁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tblCellMar>
            <w:top w:w="0" w:type="dxa"/>
            <w:left w:w="0" w:type="dxa"/>
            <w:bottom w:w="0" w:type="dxa"/>
            <w:right w:w="0" w:type="dxa"/>
          </w:tblCellMar>
        </w:tblPrEx>
        <w:trPr>
          <w:tblCellSpacing w:w="0" w:type="dxa"/>
        </w:trPr>
        <w:tc>
          <w:tcPr>
            <w:tcW w:w="100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default"/>
                <w:b w:val="0"/>
                <w:bCs w:val="0"/>
              </w:rPr>
              <w:t>G13</w:t>
            </w:r>
          </w:p>
        </w:tc>
        <w:tc>
          <w:tcPr>
            <w:tcW w:w="106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eastAsia"/>
                <w:b w:val="0"/>
                <w:bCs w:val="0"/>
              </w:rPr>
              <w:t>航天航空工程</w:t>
            </w:r>
          </w:p>
        </w:tc>
        <w:tc>
          <w:tcPr>
            <w:tcW w:w="6615" w:type="dxa"/>
            <w:tcBorders>
              <w:tl2br w:val="nil"/>
              <w:tr2bl w:val="nil"/>
            </w:tcBorders>
            <w:shd w:val="clear"/>
            <w:tcMar>
              <w:left w:w="105" w:type="dxa"/>
              <w:right w:w="105" w:type="dxa"/>
            </w:tcMar>
            <w:vAlign w:val="center"/>
          </w:tcPr>
          <w:p>
            <w:pPr>
              <w:pStyle w:val="8"/>
              <w:bidi w:val="0"/>
              <w:rPr>
                <w:rFonts w:hint="default"/>
                <w:b w:val="0"/>
                <w:bCs w:val="0"/>
              </w:rPr>
            </w:pPr>
            <w:r>
              <w:rPr>
                <w:rFonts w:hint="eastAsia"/>
                <w:b w:val="0"/>
                <w:bCs w:val="0"/>
              </w:rPr>
              <w:t>民用机场工程等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tblCellMar>
            <w:top w:w="0" w:type="dxa"/>
            <w:left w:w="0" w:type="dxa"/>
            <w:bottom w:w="0" w:type="dxa"/>
            <w:right w:w="0" w:type="dxa"/>
          </w:tblCellMar>
        </w:tblPrEx>
        <w:trPr>
          <w:trHeight w:val="2025" w:hRule="atLeast"/>
          <w:tblCellSpacing w:w="0" w:type="dxa"/>
        </w:trPr>
        <w:tc>
          <w:tcPr>
            <w:tcW w:w="100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default"/>
                <w:b w:val="0"/>
                <w:bCs w:val="0"/>
              </w:rPr>
              <w:t>G14</w:t>
            </w:r>
          </w:p>
        </w:tc>
        <w:tc>
          <w:tcPr>
            <w:tcW w:w="106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eastAsia"/>
                <w:b w:val="0"/>
                <w:bCs w:val="0"/>
              </w:rPr>
              <w:t>机电</w:t>
            </w:r>
          </w:p>
          <w:p>
            <w:pPr>
              <w:pStyle w:val="8"/>
              <w:bidi w:val="0"/>
              <w:jc w:val="center"/>
              <w:rPr>
                <w:rFonts w:hint="default"/>
                <w:b w:val="0"/>
                <w:bCs w:val="0"/>
              </w:rPr>
            </w:pPr>
            <w:r>
              <w:rPr>
                <w:rFonts w:hint="eastAsia"/>
                <w:b w:val="0"/>
                <w:bCs w:val="0"/>
              </w:rPr>
              <w:t>安装</w:t>
            </w:r>
          </w:p>
          <w:p>
            <w:pPr>
              <w:pStyle w:val="8"/>
              <w:bidi w:val="0"/>
              <w:jc w:val="center"/>
              <w:rPr>
                <w:rFonts w:hint="default"/>
                <w:b w:val="0"/>
                <w:bCs w:val="0"/>
              </w:rPr>
            </w:pPr>
            <w:r>
              <w:rPr>
                <w:rFonts w:hint="eastAsia"/>
                <w:b w:val="0"/>
                <w:bCs w:val="0"/>
              </w:rPr>
              <w:t>工程</w:t>
            </w:r>
          </w:p>
        </w:tc>
        <w:tc>
          <w:tcPr>
            <w:tcW w:w="6615" w:type="dxa"/>
            <w:tcBorders>
              <w:tl2br w:val="nil"/>
              <w:tr2bl w:val="nil"/>
            </w:tcBorders>
            <w:shd w:val="clear"/>
            <w:tcMar>
              <w:left w:w="105" w:type="dxa"/>
              <w:right w:w="105" w:type="dxa"/>
            </w:tcMar>
            <w:vAlign w:val="center"/>
          </w:tcPr>
          <w:p>
            <w:pPr>
              <w:pStyle w:val="8"/>
              <w:bidi w:val="0"/>
              <w:rPr>
                <w:rFonts w:hint="default"/>
                <w:b w:val="0"/>
                <w:bCs w:val="0"/>
              </w:rPr>
            </w:pPr>
            <w:r>
              <w:rPr>
                <w:rFonts w:hint="eastAsia"/>
                <w:b w:val="0"/>
                <w:bCs w:val="0"/>
              </w:rPr>
              <w:t>一般工业机电安装工程（一般工业、公用工程及公共建筑的机电安装工程）指未列入港口与航道、水利水电、电力、矿山、冶炼、化工石油、通信工程的机械、电子、轻工、纺织及其他工业机电安装工程，包括机械工程、电子工程、轻纺工程、兵器工程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tblCellMar>
            <w:top w:w="0" w:type="dxa"/>
            <w:left w:w="0" w:type="dxa"/>
            <w:bottom w:w="0" w:type="dxa"/>
            <w:right w:w="0" w:type="dxa"/>
          </w:tblCellMar>
        </w:tblPrEx>
        <w:trPr>
          <w:trHeight w:val="1125" w:hRule="atLeast"/>
          <w:tblCellSpacing w:w="0" w:type="dxa"/>
        </w:trPr>
        <w:tc>
          <w:tcPr>
            <w:tcW w:w="100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default"/>
                <w:b w:val="0"/>
                <w:bCs w:val="0"/>
              </w:rPr>
              <w:t>G15</w:t>
            </w:r>
          </w:p>
        </w:tc>
        <w:tc>
          <w:tcPr>
            <w:tcW w:w="1065" w:type="dxa"/>
            <w:tcBorders>
              <w:tl2br w:val="nil"/>
              <w:tr2bl w:val="nil"/>
            </w:tcBorders>
            <w:shd w:val="clear"/>
            <w:tcMar>
              <w:left w:w="105" w:type="dxa"/>
              <w:right w:w="105" w:type="dxa"/>
            </w:tcMar>
            <w:vAlign w:val="center"/>
          </w:tcPr>
          <w:p>
            <w:pPr>
              <w:pStyle w:val="8"/>
              <w:bidi w:val="0"/>
              <w:jc w:val="center"/>
              <w:rPr>
                <w:rFonts w:hint="default"/>
                <w:b w:val="0"/>
                <w:bCs w:val="0"/>
              </w:rPr>
            </w:pPr>
            <w:r>
              <w:rPr>
                <w:rFonts w:hint="eastAsia"/>
                <w:b w:val="0"/>
                <w:bCs w:val="0"/>
              </w:rPr>
              <w:t>其他</w:t>
            </w:r>
          </w:p>
        </w:tc>
        <w:tc>
          <w:tcPr>
            <w:tcW w:w="6615" w:type="dxa"/>
            <w:tcBorders>
              <w:tl2br w:val="nil"/>
              <w:tr2bl w:val="nil"/>
            </w:tcBorders>
            <w:shd w:val="clear"/>
            <w:tcMar>
              <w:left w:w="105" w:type="dxa"/>
              <w:right w:w="105" w:type="dxa"/>
            </w:tcMar>
            <w:vAlign w:val="center"/>
          </w:tcPr>
          <w:p>
            <w:pPr>
              <w:pStyle w:val="8"/>
              <w:bidi w:val="0"/>
              <w:rPr>
                <w:rFonts w:hint="default"/>
                <w:b w:val="0"/>
                <w:bCs w:val="0"/>
              </w:rPr>
            </w:pPr>
            <w:r>
              <w:rPr>
                <w:rFonts w:hint="eastAsia"/>
                <w:b w:val="0"/>
                <w:bCs w:val="0"/>
              </w:rPr>
              <w:t>地质灾害治理项目（包含应急地质灾害治理项目）、土地整理项目等</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二、政府采购类项目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（一）省级政府采购项目，应全部进入公共资源交易平台体系进行交易。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（二）市、县进入公共资源交易平台体系的政府采购项目，按照各级政府或授权机构的规定执行。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三、土地使用权和矿业权交易类项目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（一）国土资源行政主管部门决定采用招标、拍卖、挂牌方式出让土地使用权和矿业权（探矿权、采矿权），应进入公共资源交易平台体系进行交易。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（二）国有企业、事业单位的土地使用权和矿业权（探矿权、采矿权）须按照招标、拍卖、挂牌方式转让的，应进入公共资源交易平台体系进行交易。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四、国有产权交易类项目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5"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（一）按照法律法规规定，采取招标、拍卖、电子竞价等方式转让国有产权的，应进入公共资源交易平台体系进行交易。具体范围如下：</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5"/>
        <w:gridCol w:w="1260"/>
        <w:gridCol w:w="6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blCellSpacing w:w="0" w:type="dxa"/>
          <w:jc w:val="center"/>
        </w:trPr>
        <w:tc>
          <w:tcPr>
            <w:tcW w:w="1005" w:type="dxa"/>
            <w:tcBorders>
              <w:top w:val="nil"/>
              <w:left w:val="nil"/>
              <w:bottom w:val="nil"/>
              <w:right w:val="nil"/>
            </w:tcBorders>
            <w:shd w:val="clear"/>
            <w:tcMar>
              <w:left w:w="105" w:type="dxa"/>
              <w:right w:w="105" w:type="dxa"/>
            </w:tcMar>
            <w:vAlign w:val="center"/>
          </w:tcPr>
          <w:p>
            <w:pPr>
              <w:pStyle w:val="8"/>
              <w:bidi w:val="0"/>
              <w:jc w:val="center"/>
              <w:rPr>
                <w:rFonts w:hint="default"/>
              </w:rPr>
            </w:pPr>
            <w:bookmarkStart w:id="0" w:name="_GoBack"/>
            <w:r>
              <w:rPr>
                <w:rFonts w:hint="eastAsia"/>
              </w:rPr>
              <w:t>编号</w:t>
            </w:r>
          </w:p>
        </w:tc>
        <w:tc>
          <w:tcPr>
            <w:tcW w:w="1260" w:type="dxa"/>
            <w:tcBorders>
              <w:top w:val="nil"/>
              <w:left w:val="nil"/>
              <w:bottom w:val="nil"/>
              <w:right w:val="nil"/>
            </w:tcBorders>
            <w:shd w:val="clear"/>
            <w:tcMar>
              <w:left w:w="105" w:type="dxa"/>
              <w:right w:w="105" w:type="dxa"/>
            </w:tcMar>
            <w:vAlign w:val="center"/>
          </w:tcPr>
          <w:p>
            <w:pPr>
              <w:pStyle w:val="8"/>
              <w:bidi w:val="0"/>
              <w:jc w:val="center"/>
              <w:rPr>
                <w:rFonts w:hint="default"/>
              </w:rPr>
            </w:pPr>
            <w:r>
              <w:rPr>
                <w:rFonts w:hint="eastAsia"/>
              </w:rPr>
              <w:t>类别</w:t>
            </w:r>
          </w:p>
        </w:tc>
        <w:tc>
          <w:tcPr>
            <w:tcW w:w="6360" w:type="dxa"/>
            <w:tcBorders>
              <w:top w:val="nil"/>
              <w:left w:val="nil"/>
              <w:bottom w:val="nil"/>
              <w:right w:val="nil"/>
            </w:tcBorders>
            <w:shd w:val="clear"/>
            <w:tcMar>
              <w:left w:w="105" w:type="dxa"/>
              <w:right w:w="105" w:type="dxa"/>
            </w:tcMar>
            <w:vAlign w:val="center"/>
          </w:tcPr>
          <w:p>
            <w:pPr>
              <w:pStyle w:val="8"/>
              <w:bidi w:val="0"/>
              <w:jc w:val="center"/>
              <w:rPr>
                <w:rFonts w:hint="default"/>
              </w:rPr>
            </w:pPr>
            <w:r>
              <w:rPr>
                <w:rFonts w:hint="eastAsia"/>
              </w:rPr>
              <w:t>范</w:t>
            </w:r>
            <w:r>
              <w:rPr>
                <w:rFonts w:hint="default"/>
              </w:rPr>
              <w:t>   </w:t>
            </w:r>
            <w:r>
              <w:rPr>
                <w:rFonts w:hint="eastAsia"/>
              </w:rPr>
              <w:t>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05" w:hRule="atLeast"/>
          <w:tblCellSpacing w:w="0" w:type="dxa"/>
          <w:jc w:val="center"/>
        </w:trPr>
        <w:tc>
          <w:tcPr>
            <w:tcW w:w="1005" w:type="dxa"/>
            <w:tcBorders>
              <w:top w:val="nil"/>
              <w:left w:val="nil"/>
              <w:bottom w:val="nil"/>
              <w:right w:val="nil"/>
            </w:tcBorders>
            <w:shd w:val="clear"/>
            <w:tcMar>
              <w:left w:w="105" w:type="dxa"/>
              <w:right w:w="105" w:type="dxa"/>
            </w:tcMar>
            <w:vAlign w:val="center"/>
          </w:tcPr>
          <w:p>
            <w:pPr>
              <w:pStyle w:val="8"/>
              <w:bidi w:val="0"/>
              <w:jc w:val="center"/>
              <w:rPr>
                <w:rFonts w:hint="default"/>
              </w:rPr>
            </w:pPr>
            <w:r>
              <w:rPr>
                <w:rFonts w:hint="default"/>
              </w:rPr>
              <w:t>C01</w:t>
            </w:r>
          </w:p>
        </w:tc>
        <w:tc>
          <w:tcPr>
            <w:tcW w:w="1260" w:type="dxa"/>
            <w:tcBorders>
              <w:top w:val="nil"/>
              <w:left w:val="nil"/>
              <w:bottom w:val="nil"/>
              <w:right w:val="nil"/>
            </w:tcBorders>
            <w:shd w:val="clear"/>
            <w:tcMar>
              <w:left w:w="105" w:type="dxa"/>
              <w:right w:w="105" w:type="dxa"/>
            </w:tcMar>
            <w:vAlign w:val="center"/>
          </w:tcPr>
          <w:p>
            <w:pPr>
              <w:pStyle w:val="8"/>
              <w:bidi w:val="0"/>
              <w:jc w:val="center"/>
              <w:rPr>
                <w:rFonts w:hint="default"/>
              </w:rPr>
            </w:pPr>
            <w:r>
              <w:rPr>
                <w:rFonts w:hint="eastAsia"/>
              </w:rPr>
              <w:t>企业国有产权转让</w:t>
            </w:r>
          </w:p>
        </w:tc>
        <w:tc>
          <w:tcPr>
            <w:tcW w:w="6360" w:type="dxa"/>
            <w:tcBorders>
              <w:top w:val="nil"/>
              <w:left w:val="nil"/>
              <w:bottom w:val="nil"/>
              <w:right w:val="nil"/>
            </w:tcBorders>
            <w:shd w:val="clear"/>
            <w:tcMar>
              <w:left w:w="105" w:type="dxa"/>
              <w:right w:w="105" w:type="dxa"/>
            </w:tcMar>
            <w:vAlign w:val="center"/>
          </w:tcPr>
          <w:p>
            <w:pPr>
              <w:pStyle w:val="8"/>
              <w:bidi w:val="0"/>
              <w:rPr>
                <w:rFonts w:hint="default"/>
              </w:rPr>
            </w:pPr>
            <w:r>
              <w:rPr>
                <w:rFonts w:hint="eastAsia"/>
              </w:rPr>
              <w:t>指国家对企业以各种形式投入形成的权益、国有及国有控股企业各种投资所形成的应享有的权益，以及依法认定为国家所有的其他权益等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70" w:hRule="atLeast"/>
          <w:tblCellSpacing w:w="0" w:type="dxa"/>
          <w:jc w:val="center"/>
        </w:trPr>
        <w:tc>
          <w:tcPr>
            <w:tcW w:w="1005" w:type="dxa"/>
            <w:tcBorders>
              <w:top w:val="nil"/>
              <w:left w:val="nil"/>
              <w:bottom w:val="nil"/>
              <w:right w:val="nil"/>
            </w:tcBorders>
            <w:shd w:val="clear"/>
            <w:tcMar>
              <w:left w:w="105" w:type="dxa"/>
              <w:right w:w="105" w:type="dxa"/>
            </w:tcMar>
            <w:vAlign w:val="center"/>
          </w:tcPr>
          <w:p>
            <w:pPr>
              <w:pStyle w:val="8"/>
              <w:bidi w:val="0"/>
              <w:jc w:val="center"/>
              <w:rPr>
                <w:rFonts w:hint="default"/>
              </w:rPr>
            </w:pPr>
            <w:r>
              <w:rPr>
                <w:rFonts w:hint="default"/>
              </w:rPr>
              <w:t>C02</w:t>
            </w:r>
          </w:p>
        </w:tc>
        <w:tc>
          <w:tcPr>
            <w:tcW w:w="1260" w:type="dxa"/>
            <w:tcBorders>
              <w:top w:val="nil"/>
              <w:left w:val="nil"/>
              <w:bottom w:val="nil"/>
              <w:right w:val="nil"/>
            </w:tcBorders>
            <w:shd w:val="clear"/>
            <w:tcMar>
              <w:left w:w="105" w:type="dxa"/>
              <w:right w:w="105" w:type="dxa"/>
            </w:tcMar>
            <w:vAlign w:val="center"/>
          </w:tcPr>
          <w:p>
            <w:pPr>
              <w:pStyle w:val="8"/>
              <w:bidi w:val="0"/>
              <w:jc w:val="center"/>
              <w:rPr>
                <w:rFonts w:hint="default"/>
              </w:rPr>
            </w:pPr>
            <w:r>
              <w:rPr>
                <w:rFonts w:hint="eastAsia"/>
              </w:rPr>
              <w:t>行政事业单位国有资产转让</w:t>
            </w:r>
          </w:p>
        </w:tc>
        <w:tc>
          <w:tcPr>
            <w:tcW w:w="6360" w:type="dxa"/>
            <w:tcBorders>
              <w:top w:val="nil"/>
              <w:left w:val="nil"/>
              <w:bottom w:val="nil"/>
              <w:right w:val="nil"/>
            </w:tcBorders>
            <w:shd w:val="clear"/>
            <w:tcMar>
              <w:left w:w="105" w:type="dxa"/>
              <w:right w:w="105" w:type="dxa"/>
            </w:tcMar>
            <w:vAlign w:val="center"/>
          </w:tcPr>
          <w:p>
            <w:pPr>
              <w:pStyle w:val="8"/>
              <w:bidi w:val="0"/>
              <w:rPr>
                <w:rFonts w:hint="default"/>
              </w:rPr>
            </w:pPr>
            <w:r>
              <w:rPr>
                <w:rFonts w:hint="eastAsia"/>
              </w:rPr>
              <w:t>行政事业单位国有资产包括各种形态的有形资产、无形资产等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90" w:hRule="atLeast"/>
          <w:tblCellSpacing w:w="0" w:type="dxa"/>
          <w:jc w:val="center"/>
        </w:trPr>
        <w:tc>
          <w:tcPr>
            <w:tcW w:w="1005" w:type="dxa"/>
            <w:tcBorders>
              <w:top w:val="nil"/>
              <w:left w:val="nil"/>
              <w:bottom w:val="nil"/>
              <w:right w:val="nil"/>
            </w:tcBorders>
            <w:shd w:val="clear"/>
            <w:tcMar>
              <w:left w:w="105" w:type="dxa"/>
              <w:right w:w="105" w:type="dxa"/>
            </w:tcMar>
            <w:vAlign w:val="center"/>
          </w:tcPr>
          <w:p>
            <w:pPr>
              <w:pStyle w:val="8"/>
              <w:bidi w:val="0"/>
              <w:jc w:val="center"/>
              <w:rPr>
                <w:rFonts w:hint="default"/>
              </w:rPr>
            </w:pPr>
            <w:r>
              <w:rPr>
                <w:rFonts w:hint="default"/>
              </w:rPr>
              <w:t>C03</w:t>
            </w:r>
          </w:p>
        </w:tc>
        <w:tc>
          <w:tcPr>
            <w:tcW w:w="1260" w:type="dxa"/>
            <w:tcBorders>
              <w:top w:val="nil"/>
              <w:left w:val="nil"/>
              <w:bottom w:val="nil"/>
              <w:right w:val="nil"/>
            </w:tcBorders>
            <w:shd w:val="clear"/>
            <w:tcMar>
              <w:left w:w="105" w:type="dxa"/>
              <w:right w:w="105" w:type="dxa"/>
            </w:tcMar>
            <w:vAlign w:val="center"/>
          </w:tcPr>
          <w:p>
            <w:pPr>
              <w:pStyle w:val="8"/>
              <w:bidi w:val="0"/>
              <w:jc w:val="center"/>
              <w:rPr>
                <w:rFonts w:hint="default"/>
              </w:rPr>
            </w:pPr>
            <w:r>
              <w:rPr>
                <w:rFonts w:hint="eastAsia"/>
              </w:rPr>
              <w:t>特种行业经营权交易</w:t>
            </w:r>
          </w:p>
        </w:tc>
        <w:tc>
          <w:tcPr>
            <w:tcW w:w="6360" w:type="dxa"/>
            <w:tcBorders>
              <w:top w:val="nil"/>
              <w:left w:val="nil"/>
              <w:bottom w:val="nil"/>
              <w:right w:val="nil"/>
            </w:tcBorders>
            <w:shd w:val="clear"/>
            <w:tcMar>
              <w:left w:w="105" w:type="dxa"/>
              <w:right w:w="105" w:type="dxa"/>
            </w:tcMar>
            <w:vAlign w:val="center"/>
          </w:tcPr>
          <w:p>
            <w:pPr>
              <w:pStyle w:val="8"/>
              <w:bidi w:val="0"/>
              <w:rPr>
                <w:rFonts w:hint="default"/>
              </w:rPr>
            </w:pPr>
            <w:r>
              <w:rPr>
                <w:rFonts w:hint="eastAsia"/>
              </w:rPr>
              <w:t>海域使用权、低空开放空域使用时间、出租车和旅游汽车经营权、公交路线经营权等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0" w:type="dxa"/>
          <w:jc w:val="center"/>
        </w:trPr>
        <w:tc>
          <w:tcPr>
            <w:tcW w:w="1005" w:type="dxa"/>
            <w:tcBorders>
              <w:top w:val="nil"/>
              <w:left w:val="nil"/>
              <w:bottom w:val="nil"/>
              <w:right w:val="nil"/>
            </w:tcBorders>
            <w:shd w:val="clear"/>
            <w:tcMar>
              <w:left w:w="105" w:type="dxa"/>
              <w:right w:w="105" w:type="dxa"/>
            </w:tcMar>
            <w:vAlign w:val="center"/>
          </w:tcPr>
          <w:p>
            <w:pPr>
              <w:pStyle w:val="8"/>
              <w:bidi w:val="0"/>
              <w:jc w:val="center"/>
              <w:rPr>
                <w:rFonts w:hint="default"/>
              </w:rPr>
            </w:pPr>
            <w:r>
              <w:rPr>
                <w:rFonts w:hint="default"/>
              </w:rPr>
              <w:t>C04</w:t>
            </w:r>
          </w:p>
        </w:tc>
        <w:tc>
          <w:tcPr>
            <w:tcW w:w="1260" w:type="dxa"/>
            <w:tcBorders>
              <w:top w:val="nil"/>
              <w:left w:val="nil"/>
              <w:bottom w:val="nil"/>
              <w:right w:val="nil"/>
            </w:tcBorders>
            <w:shd w:val="clear"/>
            <w:tcMar>
              <w:left w:w="105" w:type="dxa"/>
              <w:right w:w="105" w:type="dxa"/>
            </w:tcMar>
            <w:vAlign w:val="center"/>
          </w:tcPr>
          <w:p>
            <w:pPr>
              <w:pStyle w:val="8"/>
              <w:bidi w:val="0"/>
              <w:jc w:val="center"/>
              <w:rPr>
                <w:rFonts w:hint="default"/>
              </w:rPr>
            </w:pPr>
            <w:r>
              <w:rPr>
                <w:rFonts w:hint="eastAsia"/>
              </w:rPr>
              <w:t>其他</w:t>
            </w:r>
          </w:p>
        </w:tc>
        <w:tc>
          <w:tcPr>
            <w:tcW w:w="6360" w:type="dxa"/>
            <w:tcBorders>
              <w:top w:val="nil"/>
              <w:left w:val="nil"/>
              <w:bottom w:val="nil"/>
              <w:right w:val="nil"/>
            </w:tcBorders>
            <w:shd w:val="clear"/>
            <w:tcMar>
              <w:left w:w="105" w:type="dxa"/>
              <w:right w:w="105" w:type="dxa"/>
            </w:tcMar>
            <w:vAlign w:val="center"/>
          </w:tcPr>
          <w:p>
            <w:pPr>
              <w:pStyle w:val="8"/>
              <w:bidi w:val="0"/>
              <w:rPr>
                <w:rFonts w:hint="default"/>
              </w:rPr>
            </w:pPr>
            <w:r>
              <w:rPr>
                <w:rFonts w:hint="eastAsia"/>
              </w:rPr>
              <w:t>政府投资公共场所及设施广告设置权出让；政府特许经营；其他可收益公共资源开发权经营权交易等</w:t>
            </w:r>
          </w:p>
        </w:tc>
      </w:tr>
      <w:bookmarkEnd w:id="0"/>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（二）按照国家有关规定，属于企业法人财产权范畴的交易项目，鼓励进入公共资源交易平台体系进行交易。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五、药品及医用耗材集中采购类项目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根据国家和省有关规定，由药品集中采购机构承担的药品、二类疫苗、医疗设备、医疗器械及医用耗材采购项目，应进入公共资源交易平台体系进行交易。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六、罚没处罚类项目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rPr>
        <w:t>各级法院依法查处的违法违章行为所涉及的没收、处罚以及抵缴变卖的财产和物品，以及依法追回的赃物等，各级公安部门及其直属办案单位在公安行政执法中依法收缴、追缴、没收的涉案财产和物品及刑事案件中不宜随案移送、法定可先行处理的涉案财产和物品，国有及国有控股企业破产财产的拍卖，在履行有关审批程序后，应进入公共资源交易平台体系进行交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七、其他公共资源项目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default" w:ascii="Courier New" w:hAnsi="Courier New" w:cs="Courier New"/>
          <w:i w:val="0"/>
          <w:iCs w:val="0"/>
          <w:caps w:val="0"/>
          <w:color w:val="000000"/>
          <w:spacing w:val="0"/>
          <w:sz w:val="31"/>
          <w:szCs w:val="31"/>
        </w:rPr>
      </w:pPr>
      <w:r>
        <w:rPr>
          <w:rFonts w:hint="eastAsia" w:ascii="仿宋_GB2312" w:hAnsi="Courier New" w:eastAsia="仿宋_GB2312" w:cs="仿宋_GB2312"/>
          <w:i w:val="0"/>
          <w:iCs w:val="0"/>
          <w:caps w:val="0"/>
          <w:color w:val="000000"/>
          <w:spacing w:val="0"/>
          <w:sz w:val="31"/>
          <w:szCs w:val="31"/>
          <w:bdr w:val="none" w:color="auto" w:sz="0" w:space="0"/>
          <w:shd w:val="clear" w:fill="FFFFFF"/>
        </w:rPr>
        <w:t>主要污染物排污权、碳排放权、</w:t>
      </w:r>
      <w:r>
        <w:rPr>
          <w:rFonts w:hint="eastAsia" w:ascii="仿宋_GB2312" w:hAnsi="Courier New" w:eastAsia="仿宋_GB2312" w:cs="仿宋_GB2312"/>
          <w:i w:val="0"/>
          <w:iCs w:val="0"/>
          <w:caps w:val="0"/>
          <w:color w:val="000000"/>
          <w:spacing w:val="0"/>
          <w:sz w:val="31"/>
          <w:szCs w:val="31"/>
          <w:bdr w:val="none" w:color="auto" w:sz="0" w:space="0"/>
        </w:rPr>
        <w:t>特许经营权、林权等涉及公共利益、公众安全的公共资源项目，应进入公共资源交易平台体系进行交易。</w:t>
      </w:r>
    </w:p>
    <w:p>
      <w:pPr>
        <w:ind w:left="0" w:leftChars="0" w:firstLine="0" w:firstLineChars="0"/>
      </w:pPr>
    </w:p>
    <w:sectPr>
      <w:pgSz w:w="11906" w:h="16838"/>
      <w:pgMar w:top="2098" w:right="1474" w:bottom="1984" w:left="1587"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auto"/>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66503"/>
    <w:rsid w:val="060575F7"/>
    <w:rsid w:val="08225914"/>
    <w:rsid w:val="09556537"/>
    <w:rsid w:val="0A667C60"/>
    <w:rsid w:val="0CCD37CC"/>
    <w:rsid w:val="13372626"/>
    <w:rsid w:val="16DA1DD5"/>
    <w:rsid w:val="173540F2"/>
    <w:rsid w:val="18A14215"/>
    <w:rsid w:val="1A7318B9"/>
    <w:rsid w:val="1D740615"/>
    <w:rsid w:val="1E4C779A"/>
    <w:rsid w:val="21326056"/>
    <w:rsid w:val="225467D7"/>
    <w:rsid w:val="22C01E97"/>
    <w:rsid w:val="2650335B"/>
    <w:rsid w:val="27D01395"/>
    <w:rsid w:val="28A72693"/>
    <w:rsid w:val="2F051D98"/>
    <w:rsid w:val="2FF16CDD"/>
    <w:rsid w:val="3093171A"/>
    <w:rsid w:val="367F7906"/>
    <w:rsid w:val="391230D8"/>
    <w:rsid w:val="3C4B05CE"/>
    <w:rsid w:val="3E3541BF"/>
    <w:rsid w:val="434476AE"/>
    <w:rsid w:val="46963C10"/>
    <w:rsid w:val="46B17CA6"/>
    <w:rsid w:val="4885612D"/>
    <w:rsid w:val="48FE5AA8"/>
    <w:rsid w:val="4B79641B"/>
    <w:rsid w:val="504541AF"/>
    <w:rsid w:val="507D15D1"/>
    <w:rsid w:val="527B3818"/>
    <w:rsid w:val="52C87812"/>
    <w:rsid w:val="5302442F"/>
    <w:rsid w:val="54834A74"/>
    <w:rsid w:val="56FF1D21"/>
    <w:rsid w:val="5BBF55C8"/>
    <w:rsid w:val="5C8B2A99"/>
    <w:rsid w:val="61F1151B"/>
    <w:rsid w:val="62365448"/>
    <w:rsid w:val="62A65117"/>
    <w:rsid w:val="63F867DB"/>
    <w:rsid w:val="64123F11"/>
    <w:rsid w:val="65644BC6"/>
    <w:rsid w:val="66530541"/>
    <w:rsid w:val="691610D2"/>
    <w:rsid w:val="691C78C5"/>
    <w:rsid w:val="6B5E0202"/>
    <w:rsid w:val="6CF22C32"/>
    <w:rsid w:val="70B22DD7"/>
    <w:rsid w:val="74F42AE7"/>
    <w:rsid w:val="75800B17"/>
    <w:rsid w:val="76CC01E5"/>
    <w:rsid w:val="771225A5"/>
    <w:rsid w:val="79466A64"/>
    <w:rsid w:val="7CF3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579" w:lineRule="exact"/>
      <w:ind w:left="0" w:right="0" w:firstLine="400" w:firstLineChars="200"/>
      <w:jc w:val="both"/>
    </w:pPr>
    <w:rPr>
      <w:rFonts w:ascii="Times New Roman" w:hAnsi="Times New Roman" w:eastAsia="仿宋_GB2312" w:cs="仿宋_GB2312"/>
      <w:sz w:val="32"/>
      <w:szCs w:val="22"/>
      <w:lang w:val="zh-CN" w:eastAsia="zh-CN" w:bidi="zh-CN"/>
    </w:rPr>
  </w:style>
  <w:style w:type="paragraph" w:styleId="4">
    <w:name w:val="heading 1"/>
    <w:basedOn w:val="1"/>
    <w:next w:val="1"/>
    <w:link w:val="15"/>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5">
    <w:name w:val="heading 2"/>
    <w:basedOn w:val="1"/>
    <w:next w:val="1"/>
    <w:link w:val="14"/>
    <w:semiHidden/>
    <w:unhideWhenUsed/>
    <w:qFormat/>
    <w:uiPriority w:val="0"/>
    <w:pPr>
      <w:ind w:left="0"/>
      <w:jc w:val="left"/>
      <w:outlineLvl w:val="1"/>
    </w:pPr>
    <w:rPr>
      <w:rFonts w:ascii="Times New Roman" w:hAnsi="Times New Roman" w:eastAsia="楷体" w:cs="方正小标宋简体"/>
      <w:b/>
      <w:szCs w:val="44"/>
    </w:rPr>
  </w:style>
  <w:style w:type="paragraph" w:styleId="6">
    <w:name w:val="heading 3"/>
    <w:basedOn w:val="1"/>
    <w:next w:val="1"/>
    <w:link w:val="16"/>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semiHidden/>
    <w:unhideWhenUsed/>
    <w:qFormat/>
    <w:uiPriority w:val="0"/>
    <w:pPr>
      <w:keepNext/>
      <w:keepLines/>
      <w:spacing w:before="200" w:beforeLines="0" w:beforeAutospacing="0" w:after="20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8">
    <w:name w:val="Plain Text"/>
    <w:basedOn w:val="1"/>
    <w:qFormat/>
    <w:uiPriority w:val="0"/>
    <w:pPr>
      <w:spacing w:line="360" w:lineRule="exact"/>
      <w:ind w:firstLine="0" w:firstLineChars="0"/>
    </w:pPr>
    <w:rPr>
      <w:rFonts w:eastAsia="宋体"/>
      <w:sz w:val="21"/>
    </w:rPr>
  </w:style>
  <w:style w:type="paragraph" w:styleId="9">
    <w:name w:val="footer"/>
    <w:basedOn w:val="1"/>
    <w:qFormat/>
    <w:uiPriority w:val="0"/>
    <w:pPr>
      <w:tabs>
        <w:tab w:val="center" w:pos="4153"/>
        <w:tab w:val="right" w:pos="8306"/>
      </w:tabs>
      <w:snapToGrid w:val="0"/>
      <w:jc w:val="left"/>
    </w:pPr>
    <w:rPr>
      <w:rFonts w:asciiTheme="minorAscii" w:hAnsiTheme="minorAscii" w:eastAsiaTheme="minorEastAsia" w:cstheme="minorBidi"/>
      <w:kern w:val="2"/>
      <w:sz w:val="28"/>
      <w:szCs w:val="24"/>
      <w:lang w:val="en-US" w:bidi="ar-SA"/>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customStyle="1" w:styleId="14">
    <w:name w:val="标题 2 Char"/>
    <w:link w:val="5"/>
    <w:qFormat/>
    <w:uiPriority w:val="0"/>
    <w:rPr>
      <w:rFonts w:hint="eastAsia" w:ascii="Times New Roman" w:hAnsi="Times New Roman" w:eastAsia="楷体" w:cstheme="minorBidi"/>
      <w:b/>
      <w:kern w:val="0"/>
      <w:sz w:val="32"/>
      <w:szCs w:val="22"/>
      <w:lang w:val="en-US" w:eastAsia="zh-CN" w:bidi="ar"/>
    </w:rPr>
  </w:style>
  <w:style w:type="character" w:customStyle="1" w:styleId="15">
    <w:name w:val="标题 1 Char"/>
    <w:link w:val="4"/>
    <w:qFormat/>
    <w:uiPriority w:val="1"/>
    <w:rPr>
      <w:rFonts w:ascii="Times New Roman" w:hAnsi="Times New Roman" w:eastAsia="黑体" w:cs="方正小标宋简体"/>
      <w:sz w:val="32"/>
      <w:szCs w:val="78"/>
    </w:rPr>
  </w:style>
  <w:style w:type="character" w:customStyle="1" w:styleId="16">
    <w:name w:val="标题 3 Char"/>
    <w:link w:val="6"/>
    <w:qFormat/>
    <w:uiPriority w:val="1"/>
    <w:rPr>
      <w:rFonts w:ascii="Times New Roman" w:hAnsi="Times New Roman" w:eastAsia="仿宋_GB2312"/>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2021-10-08T12:25:00Z</dcterms:created>
  <dc:creator>Administrator</dc:creator>
  <cp:lastModifiedBy>她说</cp:lastModifiedBy>
  <dcterms:modified xsi:type="dcterms:W3CDTF">2021-12-18T02:09:55Z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07A5E89FBDE444BCAB8C704FF4A3DF28</vt:lpwstr>
  </property>
</Properties>
</file>