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潢川</w:t>
      </w:r>
      <w:r>
        <w:rPr>
          <w:rFonts w:ascii="黑体" w:hAnsi="黑体" w:eastAsia="黑体" w:cs="宋体"/>
          <w:kern w:val="0"/>
          <w:sz w:val="36"/>
          <w:szCs w:val="36"/>
        </w:rPr>
        <w:t>县</w:t>
      </w:r>
      <w:r>
        <w:rPr>
          <w:rFonts w:hint="eastAsia" w:ascii="黑体" w:hAnsi="黑体" w:eastAsia="黑体" w:cs="宋体"/>
          <w:kern w:val="0"/>
          <w:sz w:val="36"/>
          <w:szCs w:val="36"/>
        </w:rPr>
        <w:t>审计局审计结果公告</w:t>
      </w:r>
    </w:p>
    <w:p>
      <w:pPr>
        <w:widowControl/>
        <w:spacing w:before="100" w:beforeAutospacing="1" w:after="100" w:afterAutospacing="1"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（20</w:t>
      </w:r>
      <w:r>
        <w:rPr>
          <w:rFonts w:ascii="黑体" w:hAnsi="黑体" w:eastAsia="黑体" w:cs="宋体"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kern w:val="0"/>
          <w:sz w:val="30"/>
          <w:szCs w:val="30"/>
        </w:rPr>
        <w:t>年第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kern w:val="0"/>
          <w:sz w:val="30"/>
          <w:szCs w:val="30"/>
        </w:rPr>
        <w:t xml:space="preserve">号） </w:t>
      </w:r>
    </w:p>
    <w:p>
      <w:pPr>
        <w:widowControl/>
        <w:spacing w:before="100" w:beforeAutospacing="1" w:after="100" w:afterAutospacing="1" w:line="480" w:lineRule="atLeast"/>
        <w:jc w:val="center"/>
        <w:rPr>
          <w:rFonts w:ascii="仿宋" w:hAnsi="仿宋" w:eastAsia="仿宋" w:cs="仿宋"/>
          <w:szCs w:val="32"/>
        </w:rPr>
      </w:pPr>
      <w:bookmarkStart w:id="0" w:name="_GoBack"/>
      <w:r>
        <w:rPr>
          <w:rFonts w:hint="eastAsia" w:ascii="宋体" w:hAnsi="宋体"/>
          <w:b/>
          <w:spacing w:val="-20"/>
          <w:sz w:val="36"/>
          <w:szCs w:val="36"/>
        </w:rPr>
        <w:t>潢川县司法局2019年预算执行和其他财政收支情况审计结果公示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根据《中华人民共和国审计法》第十六条的规定，潢川县审计局</w:t>
      </w:r>
      <w:r>
        <w:rPr>
          <w:rFonts w:hint="eastAsia" w:ascii="仿宋" w:hAnsi="仿宋" w:eastAsia="仿宋" w:cs="仿宋"/>
          <w:sz w:val="32"/>
          <w:szCs w:val="32"/>
        </w:rPr>
        <w:t>于2020年4月17日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至30日</w:t>
      </w:r>
      <w:r>
        <w:rPr>
          <w:rFonts w:hint="eastAsia" w:ascii="仿宋" w:hAnsi="仿宋" w:eastAsia="仿宋" w:cs="仿宋"/>
          <w:sz w:val="32"/>
          <w:szCs w:val="32"/>
        </w:rPr>
        <w:t>对潢川县司法局2019年度预算执行和其他财政收支情况进行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审计</w:t>
      </w:r>
      <w:r>
        <w:rPr>
          <w:rFonts w:hint="eastAsia" w:ascii="仿宋_GB2312" w:hAnsi="仿宋" w:eastAsia="仿宋_GB2312"/>
          <w:sz w:val="32"/>
          <w:szCs w:val="32"/>
        </w:rPr>
        <w:t>。现</w:t>
      </w:r>
      <w:r>
        <w:rPr>
          <w:rFonts w:ascii="仿宋_GB2312" w:hAnsi="仿宋" w:eastAsia="仿宋_GB2312"/>
          <w:sz w:val="32"/>
          <w:szCs w:val="32"/>
        </w:rPr>
        <w:t>将审计结果公告如下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 、201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年度预算执行基本情况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</w:t>
      </w:r>
      <w:r>
        <w:rPr>
          <w:rFonts w:hint="eastAsia" w:ascii="仿宋_GB2312" w:hAnsi="仿宋" w:eastAsia="仿宋_GB2312"/>
          <w:sz w:val="32"/>
          <w:szCs w:val="32"/>
        </w:rPr>
        <w:t>是县政府组成部门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一级预算执行单位，</w:t>
      </w:r>
      <w:r>
        <w:rPr>
          <w:rFonts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全县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司法行政工作，</w:t>
      </w:r>
      <w:r>
        <w:rPr>
          <w:rFonts w:hint="eastAsia" w:ascii="仿宋" w:hAnsi="仿宋" w:eastAsia="仿宋" w:cs="仿宋"/>
          <w:sz w:val="32"/>
          <w:szCs w:val="32"/>
        </w:rPr>
        <w:t>经费来源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财政拨款。</w:t>
      </w:r>
      <w:r>
        <w:rPr>
          <w:rFonts w:hint="eastAsia" w:ascii="仿宋_GB2312" w:hAnsi="仿宋" w:eastAsia="仿宋_GB2312"/>
          <w:sz w:val="32"/>
          <w:szCs w:val="32"/>
        </w:rPr>
        <w:t>县财政批复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司法局2019年度</w:t>
      </w:r>
      <w:r>
        <w:rPr>
          <w:rFonts w:hint="eastAsia" w:ascii="仿宋_GB2312" w:hAnsi="仿宋" w:eastAsia="仿宋_GB2312"/>
          <w:sz w:val="32"/>
          <w:szCs w:val="32"/>
        </w:rPr>
        <w:t>部门财政</w:t>
      </w:r>
      <w:r>
        <w:rPr>
          <w:rFonts w:ascii="仿宋_GB2312" w:hAnsi="仿宋" w:eastAsia="仿宋_GB2312"/>
          <w:sz w:val="32"/>
          <w:szCs w:val="32"/>
        </w:rPr>
        <w:t>拨款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925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9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审计结果表明，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司法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年度预算收支基本遵守了预算法及相关法律法规，财务管理和会计核算基本符合会计法及有关财会制度规定，内部控制制度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基本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健全。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9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三、审计查出的主要问题及处理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财政专项资金187.20万元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当年未支出</w:t>
      </w:r>
      <w:r>
        <w:rPr>
          <w:rFonts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支出手续不完善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8.06万元。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会计基础工作不规范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四、审计处理情况和建议</w:t>
      </w: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对上述问题，潢</w:t>
      </w:r>
      <w:r>
        <w:rPr>
          <w:rFonts w:ascii="仿宋_GB2312" w:hAnsi="仿宋" w:eastAsia="仿宋_GB2312"/>
          <w:sz w:val="32"/>
          <w:szCs w:val="32"/>
        </w:rPr>
        <w:t>川县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审计</w:t>
      </w:r>
      <w:r>
        <w:rPr>
          <w:rFonts w:hint="eastAsia" w:ascii="仿宋_GB2312" w:hAnsi="仿宋" w:eastAsia="仿宋_GB2312"/>
          <w:sz w:val="32"/>
          <w:szCs w:val="32"/>
        </w:rPr>
        <w:t>局已依法出具了审计报告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要求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司法</w:t>
      </w:r>
      <w:r>
        <w:rPr>
          <w:rFonts w:ascii="仿宋_GB2312" w:hAnsi="仿宋" w:eastAsia="仿宋_GB2312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采取</w:t>
      </w:r>
      <w:r>
        <w:rPr>
          <w:rFonts w:ascii="仿宋_GB2312" w:hAnsi="仿宋" w:eastAsia="仿宋_GB2312"/>
          <w:sz w:val="32"/>
          <w:szCs w:val="32"/>
        </w:rPr>
        <w:t>措施，切实整改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财政专项资金187.20万元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当年未支出</w:t>
      </w:r>
      <w:r>
        <w:rPr>
          <w:rFonts w:hint="eastAsia" w:ascii="仿宋_GB2312" w:hAnsi="仿宋" w:eastAsia="仿宋_GB2312" w:cs="仿宋"/>
          <w:sz w:val="32"/>
          <w:szCs w:val="32"/>
        </w:rPr>
        <w:t>，要求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加快项目实施，提高资金使用效益</w:t>
      </w:r>
      <w:r>
        <w:rPr>
          <w:rFonts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支出手续不完善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8.06万元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sz w:val="32"/>
          <w:szCs w:val="32"/>
        </w:rPr>
        <w:t>要求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完善相关手续，并加强会计监督</w:t>
      </w:r>
      <w:r>
        <w:rPr>
          <w:rFonts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会计基础工作不规范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要求规范会计核算，提高会计信息质量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Calibri" w:hAnsi="Calibri" w:eastAsia="仿宋_GB2312" w:cs="Calibri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五、审计发现问题的整改情况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目前，上述问题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司法</w:t>
      </w:r>
      <w:r>
        <w:rPr>
          <w:rFonts w:hint="eastAsia" w:ascii="仿宋_GB2312" w:hAnsi="仿宋" w:eastAsia="仿宋_GB2312"/>
          <w:sz w:val="32"/>
          <w:szCs w:val="32"/>
        </w:rPr>
        <w:t>局已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进行了部分</w:t>
      </w:r>
      <w:r>
        <w:rPr>
          <w:rFonts w:hint="eastAsia" w:ascii="仿宋_GB2312" w:hAnsi="仿宋" w:eastAsia="仿宋_GB2312"/>
          <w:sz w:val="32"/>
          <w:szCs w:val="32"/>
        </w:rPr>
        <w:t>整改：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已完善相关支出手续，完成会计核算电算化，健全总账、明细账，专项资金支出进度问题，仍在持续整改忠</w:t>
      </w:r>
      <w:r>
        <w:rPr>
          <w:rFonts w:hint="eastAsia" w:ascii="仿宋_GB2312" w:hAnsi="仿宋" w:eastAsia="仿宋_GB2312"/>
          <w:sz w:val="32"/>
          <w:szCs w:val="32"/>
        </w:rPr>
        <w:t>。具体整改结果由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hAnsi="仿宋" w:eastAsia="仿宋_GB2312"/>
          <w:sz w:val="32"/>
          <w:szCs w:val="32"/>
        </w:rPr>
        <w:t>向社会公告。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潢川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审计局</w:t>
      </w: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420" w:firstLineChars="200"/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C75B3"/>
    <w:rsid w:val="0DAC7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仿宋_GB2312"/>
      <w:sz w:val="32"/>
      <w:szCs w:val="20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uiPriority w:val="99"/>
    <w:pPr>
      <w:spacing w:before="100" w:beforeLines="0" w:beforeAutospacing="1" w:after="100" w:afterLines="0" w:afterAutospacing="1"/>
      <w:ind w:firstLine="21" w:firstLineChars="200"/>
      <w:jc w:val="left"/>
    </w:pPr>
    <w:rPr>
      <w:kern w:val="0"/>
      <w:sz w:val="24"/>
      <w:szCs w:val="20"/>
    </w:rPr>
  </w:style>
  <w:style w:type="paragraph" w:customStyle="1" w:styleId="7">
    <w:name w:val="Char Char Char1 Char"/>
    <w:basedOn w:val="1"/>
    <w:link w:val="6"/>
    <w:qFormat/>
    <w:uiPriority w:val="0"/>
    <w:rPr>
      <w:rFonts w:eastAsia="仿宋_GB2312"/>
      <w:sz w:val="32"/>
      <w:szCs w:val="20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2021-01-11T02:23:00Z</dcterms:created>
  <dc:creator>亮堂堂</dc:creator>
  <cp:lastModifiedBy>亮堂堂</cp:lastModifiedBy>
  <dcterms:modified xsi:type="dcterms:W3CDTF">2021-01-11T02:23:46Z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