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120" w:lineRule="exact"/>
        <w:jc w:val="center"/>
        <w:rPr>
          <w:rFonts w:hint="eastAsia" w:ascii="方正小标宋简体" w:eastAsia="方正小标宋简体"/>
          <w:color w:val="FF0000"/>
          <w:w w:val="70"/>
          <w:sz w:val="74"/>
          <w:szCs w:val="28"/>
        </w:rPr>
      </w:pPr>
    </w:p>
    <w:p>
      <w:pPr>
        <w:spacing w:line="1120" w:lineRule="exact"/>
        <w:jc w:val="both"/>
        <w:rPr>
          <w:rFonts w:hint="eastAsia" w:ascii="方正小标宋简体" w:eastAsia="方正小标宋简体"/>
          <w:color w:val="FF0000"/>
          <w:w w:val="60"/>
          <w:sz w:val="92"/>
          <w:szCs w:val="28"/>
        </w:rPr>
      </w:pPr>
      <w:r>
        <w:rPr>
          <w:rFonts w:hint="eastAsia" w:ascii="方正小标宋简体" w:eastAsia="方正小标宋简体"/>
          <w:color w:val="FF0000"/>
          <w:w w:val="60"/>
          <w:sz w:val="92"/>
          <w:szCs w:val="28"/>
        </w:rPr>
        <w:t>潢川县人民政府金融工作办公室文件</w:t>
      </w:r>
    </w:p>
    <w:p>
      <w:pPr>
        <w:spacing w:line="520" w:lineRule="exact"/>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both"/>
        <w:rPr>
          <w:rFonts w:hint="default" w:ascii="仿宋_GB2312" w:eastAsia="仿宋_GB2312"/>
          <w:sz w:val="32"/>
          <w:szCs w:val="32"/>
          <w:lang w:val="en-US" w:eastAsia="zh-CN"/>
        </w:rPr>
      </w:pPr>
      <w:r>
        <w:rPr>
          <w:rFonts w:hint="eastAsia" w:ascii="仿宋_GB2312" w:hAnsi="仿宋_GB2312" w:eastAsia="仿宋_GB2312" w:cs="仿宋_GB2312"/>
          <w:sz w:val="32"/>
          <w:szCs w:val="32"/>
        </w:rPr>
        <w:t>潢政金〔</w:t>
      </w:r>
      <w:r>
        <w:rPr>
          <w:rFonts w:hint="eastAsia" w:ascii="仿宋_GB2312" w:hAnsi="仿宋_GB2312" w:eastAsia="仿宋_GB2312" w:cs="仿宋_GB2312"/>
        </w:rPr>
        <w:t>2021</w:t>
      </w:r>
      <w:r>
        <w:rPr>
          <w:rFonts w:hint="eastAsia" w:ascii="仿宋_GB2312" w:hAnsi="仿宋_GB2312" w:eastAsia="仿宋_GB2312" w:cs="仿宋_GB2312"/>
          <w:sz w:val="32"/>
          <w:szCs w:val="32"/>
        </w:rPr>
        <w:t>〕</w:t>
      </w:r>
      <w:r>
        <w:rPr>
          <w:rFonts w:hint="eastAsia" w:ascii="仿宋_GB2312" w:hAnsi="仿宋_GB2312" w:eastAsia="仿宋_GB2312" w:cs="仿宋_GB231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 xml:space="preserve"> 签发人：刘 健</w:t>
      </w:r>
    </w:p>
    <w:p>
      <w:pPr>
        <w:spacing w:line="520" w:lineRule="exact"/>
        <w:ind w:firstLine="640" w:firstLineChars="200"/>
        <w:rPr>
          <w:rFonts w:hint="eastAsia" w:ascii="仿宋_GB2312" w:eastAsia="仿宋_GB2312"/>
          <w:sz w:val="32"/>
          <w:szCs w:val="32"/>
        </w:rPr>
      </w:pPr>
      <w:r>
        <w:rPr>
          <w:rFonts w:hint="eastAsia" w:ascii="仿宋_GB2312" w:hAnsi="Times New Roman" w:eastAsia="仿宋_GB2312" w:cs="黑体"/>
          <w:kern w:val="2"/>
          <w:sz w:val="32"/>
          <w:szCs w:val="32"/>
          <w:lang w:val="en-US" w:eastAsia="zh-CN" w:bidi="ar-SA"/>
        </w:rPr>
        <w:pict>
          <v:line id="直接连接符 2" o:spid="_x0000_s1027" style="position:absolute;left:0;margin-left:2.1pt;margin-top:5.2pt;height:0.05pt;width:434pt;rotation:0f;z-index:251658240;" o:ole="f" fillcolor="#FFFFFF" filled="f" o:preferrelative="t" stroked="t" coordsize="21600,21600">
            <v:fill on="f" color2="#FFFFFF" focus="0%"/>
            <v:stroke weight="1.76pt" color="#FF0000" color2="#FFFFFF" miterlimit="2"/>
            <v:imagedata gain="65536f" blacklevel="0f" gamma="0"/>
            <o:lock v:ext="edit" position="f" selection="f" grouping="f" rotation="f" cropping="f" text="f" aspectratio="f"/>
          </v:line>
        </w:pict>
      </w:r>
      <w:r>
        <w:rPr>
          <w:rFonts w:hint="eastAsia" w:ascii="仿宋_GB2312" w:eastAsia="仿宋_GB2312"/>
          <w:sz w:val="32"/>
          <w:szCs w:val="32"/>
        </w:rPr>
        <w:t xml:space="preserve">                              </w:t>
      </w:r>
      <w:r>
        <w:rPr>
          <w:rFonts w:hint="eastAsia" w:ascii="仿宋_GB2312" w:eastAsia="仿宋_GB2312"/>
          <w:spacing w:val="-4"/>
          <w:sz w:val="32"/>
          <w:szCs w:val="32"/>
        </w:rPr>
        <w:t xml:space="preserve">  </w:t>
      </w:r>
      <w:r>
        <w:rPr>
          <w:rFonts w:hint="eastAsia" w:ascii="仿宋_GB2312" w:eastAsia="仿宋_GB2312"/>
          <w:sz w:val="32"/>
          <w:szCs w:val="32"/>
        </w:rPr>
        <w:t xml:space="preserve">      </w:t>
      </w:r>
    </w:p>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潢川县资本市场高质量发展专项奖补办法</w:t>
      </w:r>
    </w:p>
    <w:p>
      <w:pPr>
        <w:ind w:firstLine="643" w:firstLineChars="200"/>
        <w:jc w:val="center"/>
        <w:rPr>
          <w:rFonts w:hint="eastAsia"/>
          <w:b/>
          <w:bCs/>
        </w:rPr>
      </w:pPr>
      <w:r>
        <w:rPr>
          <w:rFonts w:hint="eastAsia"/>
          <w:b/>
          <w:bCs/>
        </w:rPr>
        <w:t>（</w:t>
      </w:r>
      <w:r>
        <w:rPr>
          <w:rFonts w:hint="eastAsia"/>
          <w:b/>
          <w:bCs/>
          <w:lang w:val="en-US" w:eastAsia="zh-CN"/>
        </w:rPr>
        <w:t>试行</w:t>
      </w:r>
      <w:r>
        <w:rPr>
          <w:rFonts w:hint="eastAsia"/>
          <w:b/>
          <w:bCs/>
        </w:rPr>
        <w:t>）</w:t>
      </w:r>
    </w:p>
    <w:p>
      <w:pPr>
        <w:ind w:firstLine="643" w:firstLineChars="200"/>
        <w:jc w:val="center"/>
        <w:rPr>
          <w:rFonts w:hint="eastAsia"/>
          <w:b/>
          <w:bCs/>
        </w:rPr>
      </w:pPr>
    </w:p>
    <w:p>
      <w:pPr>
        <w:ind w:firstLine="640" w:firstLineChars="200"/>
        <w:jc w:val="center"/>
        <w:rPr>
          <w:rFonts w:hint="eastAsia" w:ascii="黑体" w:hAnsi="黑体" w:eastAsia="黑体" w:cs="黑体"/>
        </w:rPr>
      </w:pPr>
      <w:r>
        <w:rPr>
          <w:rFonts w:hint="eastAsia" w:ascii="黑体" w:hAnsi="黑体" w:eastAsia="黑体" w:cs="黑体"/>
        </w:rPr>
        <w:t>第一章 总 则</w:t>
      </w:r>
    </w:p>
    <w:p>
      <w:pPr>
        <w:rPr>
          <w:rFonts w:hint="eastAsia"/>
        </w:rPr>
      </w:pP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第一条 为深入贯彻落实党的十九大、中央经济工作会议精神和资本市场改革各项战略部署，充分发挥资本市场优化资源配置、促进产业转型升级作用，助推全市经济高质量发展，特制定本办法。</w:t>
      </w: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第二条 奖补资金的使用管理遵循政府引导、突出重点、注重实效、公开透明的原则。</w:t>
      </w:r>
    </w:p>
    <w:p>
      <w:pPr>
        <w:widowControl w:val="0"/>
        <w:wordWrap/>
        <w:adjustRightInd/>
        <w:snapToGrid/>
        <w:spacing w:line="460" w:lineRule="exact"/>
        <w:ind w:left="0" w:leftChars="0" w:right="0"/>
        <w:textAlignment w:val="auto"/>
        <w:outlineLvl w:val="9"/>
        <w:rPr>
          <w:rFonts w:hint="eastAsia"/>
        </w:rPr>
      </w:pPr>
    </w:p>
    <w:p>
      <w:pPr>
        <w:widowControl w:val="0"/>
        <w:wordWrap/>
        <w:adjustRightInd/>
        <w:snapToGrid/>
        <w:spacing w:line="460" w:lineRule="exact"/>
        <w:ind w:left="0" w:leftChars="0" w:right="0" w:firstLine="640" w:firstLineChars="200"/>
        <w:jc w:val="center"/>
        <w:textAlignment w:val="auto"/>
        <w:outlineLvl w:val="9"/>
        <w:rPr>
          <w:rFonts w:hint="eastAsia" w:ascii="黑体" w:hAnsi="黑体" w:eastAsia="黑体" w:cs="黑体"/>
        </w:rPr>
      </w:pPr>
      <w:r>
        <w:rPr>
          <w:rFonts w:hint="eastAsia" w:ascii="黑体" w:hAnsi="黑体" w:eastAsia="黑体" w:cs="黑体"/>
        </w:rPr>
        <w:t>第二章 支持范围和标准</w:t>
      </w:r>
    </w:p>
    <w:p>
      <w:pPr>
        <w:widowControl w:val="0"/>
        <w:wordWrap/>
        <w:adjustRightInd/>
        <w:snapToGrid/>
        <w:spacing w:line="460" w:lineRule="exact"/>
        <w:ind w:left="0" w:leftChars="0" w:right="0"/>
        <w:textAlignment w:val="auto"/>
        <w:outlineLvl w:val="9"/>
        <w:rPr>
          <w:rFonts w:hint="eastAsia"/>
        </w:rPr>
      </w:pP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第三条 企业股改支持。支持我县上市后备企业进行股份制改造，规范公司治理结构，企业在证券公司指导下完成以上市或新三板挂牌为目的的股改并取得工商营业执照的，给予50万元奖励。</w:t>
      </w: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第四条 企业境内上市支持。我县上市后备企业申请在境内上市的，按照辅导备案登记、中国证监会（或交易所）受理申报材料、上市交易三个节点，对申请上市企业分别给予100万元、100万元、100万元奖励。</w:t>
      </w: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第五条 企业境外</w:t>
      </w:r>
      <w:bookmarkStart w:id="0" w:name="_GoBack"/>
      <w:bookmarkEnd w:id="0"/>
      <w:r>
        <w:rPr>
          <w:rFonts w:hint="eastAsia"/>
        </w:rPr>
        <w:t>上市支持。我县上市后备企业申请境外上市的，按照中国证监会批复同意、上市交易两个节点，对申请上市企业分别给予100万元、200万元奖励。</w:t>
      </w: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第六条 企业挂牌支持。我县后备企业在全国中小企业股份转让系统（新三板）挂牌成功后，给予50万元奖励；进入新三板创新层，再给予50万元奖励；创新层转板上市后，按照上市板块对应奖励额度扣除转板上市前已支付奖励额度，再给予一次性差额奖励。在中原股权交易中心（四板）交易板挂牌成功后，给予30万元奖励。</w:t>
      </w: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第七条 外地上市企业迁入支持。对外地（潢川县行政区域之外）上市公司迁址我县并完成工商登记、纳税登记变更的，给予一次性300万元奖励。</w:t>
      </w:r>
    </w:p>
    <w:p>
      <w:pPr>
        <w:widowControl w:val="0"/>
        <w:wordWrap/>
        <w:adjustRightInd/>
        <w:snapToGrid/>
        <w:spacing w:line="460" w:lineRule="exact"/>
        <w:ind w:left="0" w:leftChars="0" w:right="0" w:firstLine="640" w:firstLineChars="200"/>
        <w:textAlignment w:val="auto"/>
        <w:outlineLvl w:val="9"/>
        <w:rPr>
          <w:rFonts w:hint="eastAsia"/>
        </w:rPr>
      </w:pPr>
      <w:r>
        <w:rPr>
          <w:rFonts w:hint="eastAsia"/>
        </w:rPr>
        <w:t>第八条 并购重组支持。我县上市公司成功实施并购重组潢川县境外企业，并达到中国证监会关于《上市公司重大资产重组管理办法》规定的重大资产重组标准的，并购金额5亿元以下的奖励50万元；5亿元及以上、10亿元以下的奖励100万元；10亿元及以上的奖励150万元。</w:t>
      </w:r>
    </w:p>
    <w:p>
      <w:pPr>
        <w:ind w:firstLine="640" w:firstLineChars="200"/>
        <w:rPr>
          <w:rFonts w:hint="eastAsia"/>
        </w:rPr>
      </w:pPr>
      <w:r>
        <w:rPr>
          <w:rFonts w:hint="eastAsia"/>
        </w:rPr>
        <w:t>第九条 企业发行资本市场融资工具支持。对我县企业通过境内外资本市场发行的债务融资工具、资产证券化两类产品，分别按照其实际支付中介费用的50％给予补助，每户企业每类产品最高补助不超过100万元；对于发行绿色、扶贫债务融资工具或资产证券化产品的企业，每户企业每类产品最高补助不超过200万元。对为我县企业发行债券、资产证券化产品提供担保增信服务的融资担保机构，按照实际担保金额给予不超过1％的奖励，每户担保机构最高奖励不超过200万元。奖补资金申报拨付按照《河南省省级金融业发展专项奖补资金管理办法》（豫财金〔2018〕67号）执行。</w:t>
      </w:r>
    </w:p>
    <w:p>
      <w:pPr>
        <w:ind w:firstLine="640" w:firstLineChars="200"/>
        <w:rPr>
          <w:rFonts w:hint="eastAsia"/>
        </w:rPr>
      </w:pPr>
      <w:r>
        <w:rPr>
          <w:rFonts w:hint="eastAsia"/>
        </w:rPr>
        <w:t>第十条 股权投资支持。各类私募基金和创投机构给予我县非上市企业股权投资支持的（不包括投资设立基金），按照其投资额的1%给予一次性奖励，单项最高奖励50万元，每家企业每年最高奖励100万元。</w:t>
      </w:r>
    </w:p>
    <w:p>
      <w:pPr>
        <w:rPr>
          <w:rFonts w:hint="eastAsia"/>
        </w:rPr>
      </w:pPr>
    </w:p>
    <w:p>
      <w:pPr>
        <w:ind w:firstLine="640" w:firstLineChars="200"/>
        <w:jc w:val="center"/>
        <w:rPr>
          <w:rFonts w:hint="eastAsia" w:ascii="黑体" w:hAnsi="黑体" w:eastAsia="黑体" w:cs="黑体"/>
        </w:rPr>
      </w:pPr>
      <w:r>
        <w:rPr>
          <w:rFonts w:hint="eastAsia" w:ascii="黑体" w:hAnsi="黑体" w:eastAsia="黑体" w:cs="黑体"/>
        </w:rPr>
        <w:t>第三章 申报要求和程序</w:t>
      </w:r>
    </w:p>
    <w:p>
      <w:pPr>
        <w:rPr>
          <w:rFonts w:hint="eastAsia"/>
        </w:rPr>
      </w:pPr>
    </w:p>
    <w:p>
      <w:pPr>
        <w:ind w:firstLine="640" w:firstLineChars="200"/>
        <w:rPr>
          <w:rFonts w:hint="eastAsia"/>
        </w:rPr>
      </w:pPr>
      <w:r>
        <w:rPr>
          <w:rFonts w:hint="eastAsia"/>
        </w:rPr>
        <w:t>第十一条 本办法支持2021年1月1日—2025年12月31日实际发生的项目。每年4月30日前，符合条件的单位，向本辖区金融工作部门申报。5月15日前，县金融工作部门会同财政部门对本地区申报材料汇总审核后，共同向县金融服务中心、县财政局申报，县金融服务中心对申报材料进行初步审核后报县财政局，县财政局聘请第三方审计机构对相关材料进行审计。审核结果在官方网站公示无异议后，由县金融服务中心会同财政局向县政府报送审核意见。</w:t>
      </w:r>
    </w:p>
    <w:p>
      <w:pPr>
        <w:ind w:firstLine="640" w:firstLineChars="200"/>
        <w:rPr>
          <w:rFonts w:hint="eastAsia"/>
        </w:rPr>
      </w:pPr>
      <w:r>
        <w:rPr>
          <w:rFonts w:hint="eastAsia"/>
        </w:rPr>
        <w:t>第十二条 县财政局依据县政府批复结果，按规定向县财政部门下达专项资金预算。县财政部门收到专项资金预算后，在10个工作日内将资金拨付到申报单位。</w:t>
      </w:r>
    </w:p>
    <w:p>
      <w:pPr>
        <w:ind w:firstLine="640" w:firstLineChars="200"/>
        <w:rPr>
          <w:rFonts w:hint="eastAsia"/>
        </w:rPr>
      </w:pPr>
      <w:r>
        <w:rPr>
          <w:rFonts w:hint="eastAsia"/>
        </w:rPr>
        <w:t>第十三条 逾期不报送申请材料的，取消当年该地该项资金扶持资格。报送的数据经县有关部门复核发现有重大错误的，取消当年该机构相关资金扶持资格。严重失信主体的单位、被县政府通报批评的单位，在通报批评当年及2个会计年度内参与的项目，不得申请除本办法第九条规定之外的奖补资金。</w:t>
      </w:r>
    </w:p>
    <w:p>
      <w:pPr>
        <w:ind w:firstLine="640" w:firstLineChars="200"/>
        <w:rPr>
          <w:rFonts w:hint="eastAsia"/>
        </w:rPr>
      </w:pPr>
      <w:r>
        <w:rPr>
          <w:rFonts w:hint="eastAsia"/>
        </w:rPr>
        <w:t>第十四条 申报材料</w:t>
      </w:r>
    </w:p>
    <w:p>
      <w:pPr>
        <w:ind w:firstLine="640" w:firstLineChars="200"/>
        <w:rPr>
          <w:rFonts w:hint="eastAsia"/>
        </w:rPr>
      </w:pPr>
      <w:r>
        <w:rPr>
          <w:rFonts w:hint="eastAsia"/>
        </w:rPr>
        <w:t>（一）申请企业股改奖励，需提供资金申请报告、改制后的企业营业执照、证券公司与企业签订的协议（协议里含有股改工作）、基本存款账户信息等相关材料。</w:t>
      </w:r>
    </w:p>
    <w:p>
      <w:pPr>
        <w:ind w:firstLine="640" w:firstLineChars="200"/>
        <w:rPr>
          <w:rFonts w:hint="eastAsia"/>
        </w:rPr>
      </w:pPr>
      <w:r>
        <w:rPr>
          <w:rFonts w:hint="eastAsia"/>
        </w:rPr>
        <w:t>（二）申请企业境内上市奖励，需提供资金申请报告、企业营业执照、河南证监局出具的《辅导备案材料接收表》、中国证监会（或交易所）出具的受理函、上市公司首次公开发行股票上市公告书、沪深证券交易所出具的证明企业已办理上市相关手续的公函、基本存款账户信息等相关材料。</w:t>
      </w:r>
    </w:p>
    <w:p>
      <w:pPr>
        <w:ind w:firstLine="640" w:firstLineChars="200"/>
        <w:rPr>
          <w:rFonts w:hint="eastAsia"/>
        </w:rPr>
      </w:pPr>
      <w:r>
        <w:rPr>
          <w:rFonts w:hint="eastAsia"/>
        </w:rPr>
        <w:t>（三）申请企业境外上市奖励，需提供资金申请报告、企业营业执照、中国证监会批复同意文件、境外证券交易所出具的证明、企业已办理上市相关手续的公函、基本存款账户信息等相关材料。</w:t>
      </w:r>
    </w:p>
    <w:p>
      <w:pPr>
        <w:ind w:firstLine="640" w:firstLineChars="200"/>
        <w:rPr>
          <w:rFonts w:hint="eastAsia"/>
        </w:rPr>
      </w:pPr>
      <w:r>
        <w:rPr>
          <w:rFonts w:hint="eastAsia"/>
        </w:rPr>
        <w:t>（四）申请企业挂牌奖励，需提供资金申请报告、企业营业执照、全国中小企业股份转让系统出具的受理函及同意挂牌的函、全国中小企业股份转让系统定期调入创新层挂牌公司的公告、中原股权交易中心出具的同意挂牌的函、基本存款账户信息等相关材料。</w:t>
      </w:r>
    </w:p>
    <w:p>
      <w:pPr>
        <w:ind w:firstLine="640" w:firstLineChars="200"/>
        <w:rPr>
          <w:rFonts w:hint="eastAsia"/>
        </w:rPr>
      </w:pPr>
      <w:r>
        <w:rPr>
          <w:rFonts w:hint="eastAsia"/>
        </w:rPr>
        <w:t>（五）申请外地上市公司迁入奖励，需提供资金申请报告、企业营业执照、注册地和纳税登记地迁入我县的证明材料、5年内不迁出的承诺书、基本存款账户信息等相关材料。</w:t>
      </w:r>
    </w:p>
    <w:p>
      <w:pPr>
        <w:ind w:firstLine="640" w:firstLineChars="200"/>
        <w:rPr>
          <w:rFonts w:hint="eastAsia"/>
        </w:rPr>
      </w:pPr>
      <w:r>
        <w:rPr>
          <w:rFonts w:hint="eastAsia"/>
        </w:rPr>
        <w:t>（六）申请并购重组奖励，需提供资金申请报告、并购重组双方企业营业执照、符合中国证监会《上市公司重大资产重组管理办法》规定且完成重大资产重组的相关证明材料、基本存款账户信息等相关材料。</w:t>
      </w:r>
    </w:p>
    <w:p>
      <w:pPr>
        <w:ind w:firstLine="640" w:firstLineChars="200"/>
        <w:rPr>
          <w:rFonts w:hint="eastAsia"/>
        </w:rPr>
      </w:pPr>
      <w:r>
        <w:rPr>
          <w:rFonts w:hint="eastAsia"/>
        </w:rPr>
        <w:t>（七）申请股权投资奖励，需提供资金申请报告、私募基金或投资公司在国家发改委或中国证券投资基金业协会或中国证券业协会备案的证明文件、基金管理公司营业执照、基金管理公司在中国证券投资基金业协会备案的证明文件、投资合同、支持企业明细（包含被投资企业名称、注册地、投资金额、期限、退出方式等）、资金入账凭证、基本存款账户信息等相关材料。</w:t>
      </w:r>
    </w:p>
    <w:p>
      <w:pPr>
        <w:ind w:firstLine="640" w:firstLineChars="200"/>
        <w:rPr>
          <w:rFonts w:hint="eastAsia"/>
        </w:rPr>
      </w:pPr>
      <w:r>
        <w:rPr>
          <w:rFonts w:hint="eastAsia"/>
        </w:rPr>
        <w:t>（八）申请企业发行资本市场融资工具奖励，按照《河南省省级金融业发展专项奖补资金管理办法》（豫财金〔2018〕67号）有关规定执行。</w:t>
      </w:r>
    </w:p>
    <w:p>
      <w:pPr>
        <w:ind w:firstLine="640" w:firstLineChars="200"/>
        <w:rPr>
          <w:rFonts w:hint="eastAsia"/>
        </w:rPr>
      </w:pPr>
      <w:r>
        <w:rPr>
          <w:rFonts w:hint="eastAsia"/>
        </w:rPr>
        <w:t>第十五条 申报材料需装订成册，一式4份，同时提供电子扫描文件。提供文件复印件的，需加盖单位印章。</w:t>
      </w:r>
    </w:p>
    <w:p>
      <w:pPr>
        <w:rPr>
          <w:rFonts w:hint="eastAsia"/>
        </w:rPr>
      </w:pPr>
    </w:p>
    <w:p>
      <w:pPr>
        <w:ind w:firstLine="640" w:firstLineChars="200"/>
        <w:jc w:val="center"/>
        <w:rPr>
          <w:rFonts w:hint="eastAsia" w:ascii="黑体" w:hAnsi="黑体" w:eastAsia="黑体" w:cs="黑体"/>
        </w:rPr>
      </w:pPr>
      <w:r>
        <w:rPr>
          <w:rFonts w:hint="eastAsia" w:ascii="黑体" w:hAnsi="黑体" w:eastAsia="黑体" w:cs="黑体"/>
        </w:rPr>
        <w:t>第四章 监督检查与绩效管理</w:t>
      </w:r>
    </w:p>
    <w:p>
      <w:pPr>
        <w:rPr>
          <w:rFonts w:hint="eastAsia"/>
        </w:rPr>
      </w:pPr>
    </w:p>
    <w:p>
      <w:pPr>
        <w:ind w:firstLine="640" w:firstLineChars="200"/>
        <w:rPr>
          <w:rFonts w:hint="eastAsia"/>
        </w:rPr>
      </w:pPr>
      <w:r>
        <w:rPr>
          <w:rFonts w:hint="eastAsia"/>
        </w:rPr>
        <w:t>第十六条 县金融服务中心负责定期对我县上市挂牌后备企业实行动态调整，并将后备企业名单向县直有关部门和政府进行通报，作为享受当前省、市各项财政奖励政策和扶持政策有关依据。按照《信阳市人民政府关于印发建立完善守信联合激励和失信联合惩戒制度加快推进社会诚信建设实施方案的通知》（信政〔2016〕38号）要求，对各类违法违规及失信企业进行筛查，“黑名单”内的企业不得享受相关挂牌奖励政策。</w:t>
      </w:r>
    </w:p>
    <w:p>
      <w:pPr>
        <w:ind w:firstLine="640" w:firstLineChars="200"/>
        <w:rPr>
          <w:rFonts w:hint="eastAsia"/>
        </w:rPr>
      </w:pPr>
      <w:r>
        <w:rPr>
          <w:rFonts w:hint="eastAsia"/>
        </w:rPr>
        <w:t>第十七条 县金融服务中心会同县财政局不定期对专项资金的审核、拨付、使用情况进行监督检查，对检查中发现的问题要按照有关法律法规及时处理，保证奖补政策落实到位。</w:t>
      </w:r>
    </w:p>
    <w:p>
      <w:pPr>
        <w:ind w:firstLine="640" w:firstLineChars="200"/>
        <w:rPr>
          <w:rFonts w:hint="eastAsia"/>
        </w:rPr>
      </w:pPr>
      <w:r>
        <w:rPr>
          <w:rFonts w:hint="eastAsia"/>
        </w:rPr>
        <w:t>第十八条 县金融服务中心按照县级预算绩效管理相关规定，加强专项资金绩效管理，负责拟定专项资金绩效目标，预算执行中实施绩效监控，年度结束后开展专项资金绩效评价，形成绩效评价报告报县财政局；督促开发区相关部门对资金使用单位加强预算绩效管理，拟定具体绩效目标，实施预算执行绩效监控，按要求开展绩效自评，年度预算结束后将自评报告报县金融服务中心。县财政局在部门绩效评价基础上适时开展绩效再评价，将绩效评价结果与改进预算管理和安排年度预算资金相衔接，实现预算和绩效管理一体化。</w:t>
      </w:r>
    </w:p>
    <w:p>
      <w:pPr>
        <w:ind w:firstLine="640" w:firstLineChars="200"/>
        <w:rPr>
          <w:rFonts w:hint="eastAsia"/>
        </w:rPr>
      </w:pPr>
      <w:r>
        <w:rPr>
          <w:rFonts w:hint="eastAsia"/>
        </w:rPr>
        <w:t>第十九条 专项资金申报单位须按规定如实报送有关材料，不得弄虚作假，骗取、套取专项资金。对虚报材料，骗取专项资金的，财政部门要追回资金，按照《财政违法行为处罚处分条例》（国务院令第427号）等有关规定严肃处理，并将其违规信息报送信用平台，纳入失信联合惩戒范畴。</w:t>
      </w:r>
    </w:p>
    <w:p>
      <w:pPr>
        <w:rPr>
          <w:rFonts w:hint="eastAsia"/>
        </w:rPr>
      </w:pPr>
    </w:p>
    <w:p>
      <w:pPr>
        <w:ind w:firstLine="640" w:firstLineChars="200"/>
        <w:jc w:val="center"/>
        <w:rPr>
          <w:rFonts w:hint="eastAsia" w:ascii="黑体" w:hAnsi="黑体" w:eastAsia="黑体" w:cs="黑体"/>
        </w:rPr>
      </w:pPr>
      <w:r>
        <w:rPr>
          <w:rFonts w:hint="eastAsia" w:ascii="黑体" w:hAnsi="黑体" w:eastAsia="黑体" w:cs="黑体"/>
        </w:rPr>
        <w:t>第五章 附 则</w:t>
      </w:r>
    </w:p>
    <w:p>
      <w:pPr>
        <w:rPr>
          <w:rFonts w:hint="eastAsia"/>
        </w:rPr>
      </w:pPr>
    </w:p>
    <w:p>
      <w:pPr>
        <w:ind w:firstLine="640" w:firstLineChars="200"/>
        <w:rPr>
          <w:rFonts w:hint="eastAsia"/>
        </w:rPr>
      </w:pPr>
      <w:r>
        <w:rPr>
          <w:rFonts w:hint="eastAsia"/>
        </w:rPr>
        <w:t>第二十条 本办法所称私募基金和投资公司须依法进行工商登记，且在国家发改委或中国证券投资基金业协会或中国证券业协会备案管理。私募基金的奖励对象为该支基金的管理公司，基金管理公司须在中国证券投资基金业协会登记。</w:t>
      </w:r>
    </w:p>
    <w:p>
      <w:pPr>
        <w:ind w:firstLine="640" w:firstLineChars="200"/>
        <w:rPr>
          <w:rFonts w:hint="eastAsia"/>
        </w:rPr>
      </w:pPr>
      <w:r>
        <w:rPr>
          <w:rFonts w:hint="eastAsia"/>
        </w:rPr>
        <w:t>第二十一条 本办法自印发之日起施行，有效期5年。</w:t>
      </w:r>
    </w:p>
    <w:p>
      <w:pPr>
        <w:rPr>
          <w:rFonts w:hint="eastAsia"/>
        </w:rPr>
      </w:pPr>
    </w:p>
    <w:p>
      <w:pPr>
        <w:ind w:firstLine="640" w:firstLineChars="200"/>
        <w:rPr>
          <w:rFonts w:hint="eastAsia"/>
        </w:rPr>
      </w:pPr>
    </w:p>
    <w:p>
      <w:pPr>
        <w:ind w:firstLine="4160" w:firstLineChars="1300"/>
        <w:rPr>
          <w:rFonts w:hint="eastAsia"/>
        </w:rPr>
      </w:pPr>
      <w:r>
        <w:rPr>
          <w:rFonts w:hint="eastAsia"/>
        </w:rPr>
        <w:t>潢川县人民政府金融工作办公室</w:t>
      </w:r>
    </w:p>
    <w:p>
      <w:pPr>
        <w:ind w:firstLine="5440" w:firstLineChars="1700"/>
        <w:rPr>
          <w:rFonts w:hint="eastAsia"/>
        </w:rPr>
      </w:pPr>
      <w:r>
        <w:rPr>
          <w:rFonts w:hint="eastAsia"/>
        </w:rPr>
        <w:t>2021年2月</w:t>
      </w:r>
      <w:r>
        <w:rPr>
          <w:rFonts w:hint="eastAsia"/>
          <w:lang w:val="en-US" w:eastAsia="zh-CN"/>
        </w:rPr>
        <w:t>3</w:t>
      </w:r>
      <w:r>
        <w:rPr>
          <w:rFonts w:hint="eastAsia"/>
        </w:rPr>
        <w:t>日</w:t>
      </w: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906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ind w:firstLine="308" w:firstLineChars="100"/>
              <w:rPr>
                <w:rFonts w:hint="eastAsia" w:ascii="仿宋_GB2312" w:hAnsi="仿宋" w:eastAsia="仿宋_GB2312" w:cs="仿宋"/>
                <w:sz w:val="32"/>
                <w:szCs w:val="32"/>
              </w:rPr>
            </w:pPr>
            <w:r>
              <w:rPr>
                <w:rFonts w:hint="eastAsia" w:ascii="仿宋_GB2312" w:hAnsi="仿宋" w:eastAsia="仿宋_GB2312" w:cs="仿宋"/>
                <w:spacing w:val="-6"/>
                <w:sz w:val="32"/>
                <w:szCs w:val="32"/>
              </w:rPr>
              <w:t>潢川县人民政府金融工作办公室</w:t>
            </w:r>
            <w:r>
              <w:rPr>
                <w:rFonts w:hint="eastAsia" w:ascii="仿宋_GB2312" w:hAnsi="仿宋" w:eastAsia="仿宋_GB2312" w:cs="仿宋"/>
                <w:sz w:val="32"/>
                <w:szCs w:val="32"/>
              </w:rPr>
              <w:t xml:space="preserve">    </w:t>
            </w:r>
            <w:r>
              <w:rPr>
                <w:rFonts w:hint="eastAsia"/>
                <w:lang w:val="en-US" w:eastAsia="zh-CN"/>
              </w:rPr>
              <w:t xml:space="preserve"> 2021</w:t>
            </w:r>
            <w:r>
              <w:rPr>
                <w:rFonts w:hint="eastAsia" w:ascii="仿宋_GB2312" w:hAnsi="仿宋" w:eastAsia="仿宋_GB2312" w:cs="仿宋"/>
                <w:sz w:val="32"/>
                <w:szCs w:val="32"/>
              </w:rPr>
              <w:t>年</w:t>
            </w:r>
            <w:r>
              <w:rPr>
                <w:rFonts w:hint="eastAsia"/>
                <w:lang w:val="en-US" w:eastAsia="zh-CN"/>
              </w:rPr>
              <w:t>2</w:t>
            </w:r>
            <w:r>
              <w:rPr>
                <w:rFonts w:hint="eastAsia" w:ascii="仿宋_GB2312" w:hAnsi="仿宋" w:eastAsia="仿宋_GB2312" w:cs="仿宋"/>
                <w:sz w:val="32"/>
                <w:szCs w:val="32"/>
              </w:rPr>
              <w:t>月</w:t>
            </w:r>
            <w:r>
              <w:rPr>
                <w:rFonts w:hint="eastAsia"/>
                <w:lang w:val="en-US" w:eastAsia="zh-CN"/>
              </w:rPr>
              <w:t>3</w:t>
            </w:r>
            <w:r>
              <w:rPr>
                <w:rFonts w:hint="eastAsia" w:ascii="仿宋_GB2312" w:hAnsi="仿宋" w:eastAsia="仿宋_GB2312" w:cs="仿宋"/>
                <w:sz w:val="32"/>
                <w:szCs w:val="32"/>
              </w:rPr>
              <w:t>日印发</w:t>
            </w:r>
          </w:p>
        </w:tc>
      </w:tr>
    </w:tbl>
    <w:p>
      <w:pPr>
        <w:ind w:firstLine="5120" w:firstLineChars="1600"/>
        <w:rPr>
          <w:rFonts w:hint="eastAsia"/>
        </w:rPr>
      </w:pPr>
    </w:p>
    <w:sectPr>
      <w:footerReference r:id="rId4" w:type="default"/>
      <w:pgSz w:w="11906" w:h="16838"/>
      <w:pgMar w:top="2098" w:right="1474" w:bottom="1984" w:left="1587" w:header="851" w:footer="1417" w:gutter="0"/>
      <w:pgNumType w:fmt="numberInDash"/>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仿宋"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- 1 -</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1F0EF7"/>
    <w:rsid w:val="028E6274"/>
    <w:rsid w:val="0B64718D"/>
    <w:rsid w:val="165D2B8A"/>
    <w:rsid w:val="1BA84512"/>
    <w:rsid w:val="1E395C76"/>
    <w:rsid w:val="1FAE7E0E"/>
    <w:rsid w:val="22595437"/>
    <w:rsid w:val="2A7B498F"/>
    <w:rsid w:val="2B900347"/>
    <w:rsid w:val="2FBE6E45"/>
    <w:rsid w:val="305D7343"/>
    <w:rsid w:val="30656A38"/>
    <w:rsid w:val="397136AC"/>
    <w:rsid w:val="3AF75BC2"/>
    <w:rsid w:val="45661408"/>
    <w:rsid w:val="55655556"/>
    <w:rsid w:val="58FB7E18"/>
    <w:rsid w:val="5967369D"/>
    <w:rsid w:val="5F7D1477"/>
    <w:rsid w:val="60E42D4B"/>
    <w:rsid w:val="657A6506"/>
    <w:rsid w:val="66596FF2"/>
    <w:rsid w:val="67BB3155"/>
    <w:rsid w:val="70403027"/>
    <w:rsid w:val="72FF12A0"/>
    <w:rsid w:val="75023E22"/>
    <w:rsid w:val="75385D85"/>
    <w:rsid w:val="7FDC2FE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黑体"/>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2021-12-05T13:34:05Z</cp:lastPrinted>
  <dcterms:modified xsi:type="dcterms:W3CDTF">2021-12-05T13:34:07Z</dcterms:modified>
  <dc:title>潢川县人民政府金融工作办公室文件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y fmtid="{D5CDD505-2E9C-101B-9397-08002B2CF9AE}" pid="3" name="ICV">
    <vt:lpwstr>6FE4344C9FB3403C8B4CE39BD8438043</vt:lpwstr>
  </property>
</Properties>
</file>