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5" w:lineRule="auto"/>
        <w:rPr>
          <w:rFonts w:ascii="Arial"/>
          <w:sz w:val="21"/>
        </w:rPr>
      </w:pPr>
    </w:p>
    <w:p>
      <w:pPr>
        <w:spacing w:line="305" w:lineRule="auto"/>
        <w:rPr>
          <w:rFonts w:ascii="Arial"/>
          <w:sz w:val="21"/>
        </w:rPr>
      </w:pPr>
    </w:p>
    <w:p>
      <w:pPr>
        <w:spacing w:line="305" w:lineRule="auto"/>
        <w:rPr>
          <w:rFonts w:ascii="Arial"/>
          <w:sz w:val="21"/>
        </w:rPr>
      </w:pPr>
    </w:p>
    <w:p>
      <w:pPr>
        <w:spacing w:line="305" w:lineRule="auto"/>
        <w:rPr>
          <w:rFonts w:ascii="Arial"/>
          <w:sz w:val="21"/>
        </w:rPr>
      </w:pPr>
    </w:p>
    <w:p>
      <w:pPr>
        <w:spacing w:line="305" w:lineRule="auto"/>
        <w:rPr>
          <w:rFonts w:ascii="Arial"/>
          <w:sz w:val="21"/>
        </w:rPr>
      </w:pPr>
    </w:p>
    <w:p>
      <w:pPr>
        <w:spacing w:line="305" w:lineRule="auto"/>
        <w:rPr>
          <w:rFonts w:ascii="Arial"/>
          <w:sz w:val="21"/>
        </w:rPr>
      </w:pPr>
    </w:p>
    <w:p>
      <w:pPr>
        <w:spacing w:line="305" w:lineRule="auto"/>
        <w:rPr>
          <w:rFonts w:ascii="Arial"/>
          <w:sz w:val="21"/>
        </w:rPr>
      </w:pPr>
    </w:p>
    <w:p>
      <w:pPr>
        <w:spacing w:line="305" w:lineRule="auto"/>
        <w:rPr>
          <w:rFonts w:ascii="Arial"/>
          <w:sz w:val="21"/>
        </w:rPr>
      </w:pPr>
    </w:p>
    <w:p>
      <w:pPr>
        <w:spacing w:line="305" w:lineRule="auto"/>
        <w:rPr>
          <w:rFonts w:ascii="Arial"/>
          <w:sz w:val="21"/>
        </w:rPr>
      </w:pPr>
    </w:p>
    <w:p>
      <w:pPr>
        <w:spacing w:line="305" w:lineRule="auto"/>
        <w:rPr>
          <w:rFonts w:ascii="Arial"/>
          <w:sz w:val="21"/>
        </w:rPr>
      </w:pPr>
    </w:p>
    <w:p>
      <w:pPr>
        <w:spacing w:line="305" w:lineRule="auto"/>
        <w:rPr>
          <w:rFonts w:ascii="Arial"/>
          <w:sz w:val="21"/>
        </w:rPr>
      </w:pPr>
    </w:p>
    <w:p>
      <w:pPr>
        <w:spacing w:line="305" w:lineRule="auto"/>
        <w:rPr>
          <w:rFonts w:ascii="Arial"/>
          <w:sz w:val="21"/>
        </w:rPr>
      </w:pPr>
    </w:p>
    <w:p>
      <w:pPr>
        <w:spacing w:line="305" w:lineRule="auto"/>
        <w:rPr>
          <w:rFonts w:ascii="Arial"/>
          <w:sz w:val="21"/>
        </w:rPr>
      </w:pPr>
    </w:p>
    <w:p>
      <w:pPr>
        <w:spacing w:line="305" w:lineRule="auto"/>
        <w:rPr>
          <w:rFonts w:ascii="Arial"/>
          <w:sz w:val="21"/>
        </w:rPr>
      </w:pPr>
    </w:p>
    <w:p>
      <w:pPr>
        <w:spacing w:line="305" w:lineRule="auto"/>
        <w:rPr>
          <w:rFonts w:ascii="Arial"/>
          <w:sz w:val="21"/>
        </w:rPr>
      </w:pPr>
    </w:p>
    <w:p>
      <w:pPr>
        <w:spacing w:line="305" w:lineRule="auto"/>
        <w:rPr>
          <w:rFonts w:ascii="Arial"/>
          <w:sz w:val="21"/>
        </w:rPr>
      </w:pPr>
    </w:p>
    <w:p>
      <w:pPr>
        <w:spacing w:line="305" w:lineRule="auto"/>
        <w:rPr>
          <w:rFonts w:ascii="Arial"/>
          <w:sz w:val="21"/>
        </w:rPr>
      </w:pPr>
    </w:p>
    <w:p>
      <w:pPr>
        <w:spacing w:line="305" w:lineRule="auto"/>
        <w:rPr>
          <w:rFonts w:ascii="Arial"/>
          <w:sz w:val="21"/>
        </w:rPr>
      </w:pPr>
    </w:p>
    <w:p>
      <w:pPr>
        <w:spacing w:line="305"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4" w:line="600" w:lineRule="exact"/>
        <w:ind w:right="96"/>
        <w:jc w:val="center"/>
        <w:textAlignment w:val="baseline"/>
        <w:rPr>
          <w:rFonts w:hint="eastAsia" w:ascii="方正小标宋简体" w:hAnsi="方正小标宋简体" w:eastAsia="方正小标宋简体" w:cs="方正小标宋简体"/>
          <w:b w:val="0"/>
          <w:bCs w:val="0"/>
          <w:snapToGrid/>
          <w:kern w:val="2"/>
          <w:sz w:val="44"/>
          <w:szCs w:val="44"/>
          <w:lang w:val="en-US" w:eastAsia="zh-CN" w:bidi="ar"/>
        </w:rPr>
      </w:pPr>
      <w:r>
        <w:rPr>
          <w:rFonts w:hint="eastAsia" w:ascii="方正小标宋简体" w:hAnsi="方正小标宋简体" w:eastAsia="方正小标宋简体" w:cs="方正小标宋简体"/>
          <w:b w:val="0"/>
          <w:bCs w:val="0"/>
          <w:snapToGrid/>
          <w:kern w:val="2"/>
          <w:sz w:val="44"/>
          <w:szCs w:val="44"/>
          <w:lang w:val="en-US" w:eastAsia="zh-CN" w:bidi="ar"/>
        </w:rPr>
        <w:t>关于发挥政府性融资担保机构作用支持小微企业和“三农”发展的</w:t>
      </w:r>
    </w:p>
    <w:p>
      <w:pPr>
        <w:keepNext w:val="0"/>
        <w:keepLines w:val="0"/>
        <w:pageBreakBefore w:val="0"/>
        <w:widowControl/>
        <w:kinsoku w:val="0"/>
        <w:wordWrap/>
        <w:overflowPunct/>
        <w:topLinePunct w:val="0"/>
        <w:autoSpaceDE w:val="0"/>
        <w:autoSpaceDN w:val="0"/>
        <w:bidi w:val="0"/>
        <w:adjustRightInd w:val="0"/>
        <w:snapToGrid w:val="0"/>
        <w:spacing w:before="104" w:line="600" w:lineRule="exact"/>
        <w:ind w:right="96"/>
        <w:jc w:val="center"/>
        <w:textAlignment w:val="baseline"/>
        <w:rPr>
          <w:rFonts w:hint="eastAsia" w:ascii="方正小标宋简体" w:hAnsi="方正小标宋简体" w:eastAsia="方正小标宋简体" w:cs="方正小标宋简体"/>
          <w:b w:val="0"/>
          <w:bCs w:val="0"/>
          <w:snapToGrid/>
          <w:kern w:val="2"/>
          <w:sz w:val="44"/>
          <w:szCs w:val="44"/>
          <w:lang w:val="en-US" w:eastAsia="zh-CN" w:bidi="ar"/>
        </w:rPr>
      </w:pPr>
      <w:r>
        <w:rPr>
          <w:rFonts w:hint="eastAsia" w:ascii="方正小标宋简体" w:hAnsi="方正小标宋简体" w:eastAsia="方正小标宋简体" w:cs="方正小标宋简体"/>
          <w:b w:val="0"/>
          <w:bCs w:val="0"/>
          <w:snapToGrid/>
          <w:kern w:val="2"/>
          <w:sz w:val="44"/>
          <w:szCs w:val="44"/>
          <w:lang w:val="en-US" w:eastAsia="zh-CN" w:bidi="ar"/>
        </w:rPr>
        <w:t>通  知</w:t>
      </w:r>
    </w:p>
    <w:p>
      <w:pPr>
        <w:spacing w:line="331" w:lineRule="auto"/>
        <w:rPr>
          <w:rFonts w:ascii="Arial"/>
          <w:sz w:val="21"/>
        </w:rPr>
      </w:pPr>
    </w:p>
    <w:p>
      <w:pPr>
        <w:spacing w:line="332" w:lineRule="auto"/>
        <w:rPr>
          <w:rFonts w:ascii="Arial"/>
          <w:sz w:val="21"/>
        </w:rPr>
      </w:pPr>
    </w:p>
    <w:p>
      <w:pPr>
        <w:spacing w:before="105" w:line="590" w:lineRule="exact"/>
        <w:ind w:firstLine="84"/>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县融资担保机构:</w:t>
      </w:r>
    </w:p>
    <w:p>
      <w:pPr>
        <w:spacing w:before="105" w:line="590" w:lineRule="exact"/>
        <w:ind w:firstLine="761" w:firstLineChars="238"/>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为贯彻落实《河南省优化营商环境条例》、《河南省人民政府关于进一步加强政府性融资担保体系建设支持小微企业和“三农”发展的实施意见》(豫政办〔2020〕</w:t>
      </w:r>
      <w:bookmarkStart w:id="0" w:name="_GoBack"/>
      <w:bookmarkEnd w:id="0"/>
      <w:r>
        <w:rPr>
          <w:rFonts w:hint="eastAsia" w:ascii="仿宋_GB2312" w:hAnsi="仿宋_GB2312" w:eastAsia="仿宋_GB2312" w:cs="仿宋_GB2312"/>
          <w:snapToGrid/>
          <w:kern w:val="2"/>
          <w:sz w:val="32"/>
          <w:szCs w:val="32"/>
          <w:lang w:val="en-US" w:eastAsia="zh-CN" w:bidi="ar-SA"/>
        </w:rPr>
        <w:t>29号)等法规文件要求,充分发挥政府性融资担保机构资金融通稳定器、放大器作用,加大金融服务力度,积极支持小微企业和“三农”主体发展,现通知如下。</w:t>
      </w:r>
    </w:p>
    <w:p>
      <w:pPr>
        <w:numPr>
          <w:ilvl w:val="0"/>
          <w:numId w:val="0"/>
        </w:numPr>
        <w:spacing w:before="105" w:line="590" w:lineRule="exact"/>
        <w:ind w:firstLine="640" w:firstLineChars="200"/>
        <w:rPr>
          <w:rFonts w:hint="eastAsia" w:ascii="仿宋_GB2312" w:hAnsi="仿宋_GB2312" w:eastAsia="仿宋_GB2312" w:cs="仿宋_GB2312"/>
          <w:snapToGrid/>
          <w:kern w:val="2"/>
          <w:sz w:val="32"/>
          <w:szCs w:val="32"/>
          <w:lang w:val="en-US" w:eastAsia="zh-CN" w:bidi="ar-SA"/>
        </w:rPr>
      </w:pPr>
      <w:r>
        <w:rPr>
          <w:rFonts w:hint="eastAsia" w:ascii="黑体" w:hAnsi="黑体" w:eastAsia="黑体" w:cs="黑体"/>
          <w:snapToGrid/>
          <w:kern w:val="2"/>
          <w:sz w:val="32"/>
          <w:szCs w:val="32"/>
          <w:lang w:val="en-US" w:eastAsia="zh-CN" w:bidi="ar-SA"/>
        </w:rPr>
        <w:t>一、推动政府性融资担保机构减量提质。</w:t>
      </w:r>
      <w:r>
        <w:rPr>
          <w:rFonts w:hint="eastAsia" w:ascii="仿宋_GB2312" w:hAnsi="仿宋_GB2312" w:eastAsia="仿宋_GB2312" w:cs="仿宋_GB2312"/>
          <w:snapToGrid/>
          <w:kern w:val="2"/>
          <w:sz w:val="32"/>
          <w:szCs w:val="32"/>
          <w:lang w:val="en-US" w:eastAsia="zh-CN" w:bidi="ar-SA"/>
        </w:rPr>
        <w:t>原则上只保留1家政府性融资担保机构;对资不抵债、失去功能的政府性融资担保机构,纳入重点监管名录,跟踪督导,推动企业妥善化解风险。加强与省再担保机构的沟通对接,争取对我县政府性融资担保机构的股权投资支持。</w:t>
      </w:r>
    </w:p>
    <w:p>
      <w:pPr>
        <w:numPr>
          <w:ilvl w:val="0"/>
          <w:numId w:val="0"/>
        </w:numPr>
        <w:spacing w:before="105" w:line="590" w:lineRule="exact"/>
        <w:ind w:firstLine="640" w:firstLineChars="200"/>
        <w:rPr>
          <w:rFonts w:hint="eastAsia" w:ascii="仿宋_GB2312" w:hAnsi="仿宋_GB2312" w:eastAsia="仿宋_GB2312" w:cs="仿宋_GB2312"/>
          <w:snapToGrid/>
          <w:kern w:val="2"/>
          <w:sz w:val="32"/>
          <w:szCs w:val="32"/>
          <w:lang w:val="en-US" w:eastAsia="zh-CN" w:bidi="ar-SA"/>
        </w:rPr>
      </w:pPr>
      <w:r>
        <w:rPr>
          <w:rFonts w:hint="eastAsia" w:ascii="黑体" w:hAnsi="黑体" w:eastAsia="黑体" w:cs="黑体"/>
          <w:snapToGrid/>
          <w:kern w:val="2"/>
          <w:sz w:val="32"/>
          <w:szCs w:val="32"/>
          <w:lang w:val="en-US" w:eastAsia="zh-CN" w:bidi="ar-SA"/>
        </w:rPr>
        <w:t>二、完善法人治理结构。</w:t>
      </w:r>
      <w:r>
        <w:rPr>
          <w:rFonts w:hint="eastAsia" w:ascii="仿宋_GB2312" w:hAnsi="仿宋_GB2312" w:eastAsia="仿宋_GB2312" w:cs="仿宋_GB2312"/>
          <w:snapToGrid/>
          <w:kern w:val="2"/>
          <w:sz w:val="32"/>
          <w:szCs w:val="32"/>
          <w:lang w:val="en-US" w:eastAsia="zh-CN" w:bidi="ar-SA"/>
        </w:rPr>
        <w:t>推动政府性融资担保机构实行政企分开,探索完善政府授权的董事会管理下的职业经理人制度,坚持市场化管理,加强内控建设,提升经营管理能力。</w:t>
      </w:r>
    </w:p>
    <w:p>
      <w:pPr>
        <w:spacing w:before="105" w:line="590" w:lineRule="exact"/>
        <w:ind w:firstLine="761" w:firstLineChars="238"/>
        <w:rPr>
          <w:rFonts w:hint="eastAsia" w:ascii="仿宋_GB2312" w:hAnsi="仿宋_GB2312" w:eastAsia="仿宋_GB2312" w:cs="仿宋_GB2312"/>
          <w:snapToGrid/>
          <w:kern w:val="2"/>
          <w:sz w:val="32"/>
          <w:szCs w:val="32"/>
          <w:lang w:val="en-US" w:eastAsia="zh-CN" w:bidi="ar-SA"/>
        </w:rPr>
      </w:pPr>
      <w:r>
        <w:rPr>
          <w:rFonts w:hint="eastAsia" w:ascii="黑体" w:hAnsi="黑体" w:eastAsia="黑体" w:cs="黑体"/>
          <w:snapToGrid/>
          <w:kern w:val="2"/>
          <w:sz w:val="32"/>
          <w:szCs w:val="32"/>
          <w:lang w:val="en-US" w:eastAsia="zh-CN" w:bidi="ar-SA"/>
        </w:rPr>
        <w:t>三、聚焦支小支农主业。</w:t>
      </w:r>
      <w:r>
        <w:rPr>
          <w:rFonts w:hint="eastAsia" w:ascii="仿宋_GB2312" w:hAnsi="仿宋_GB2312" w:eastAsia="仿宋_GB2312" w:cs="仿宋_GB2312"/>
          <w:snapToGrid/>
          <w:kern w:val="2"/>
          <w:sz w:val="32"/>
          <w:szCs w:val="32"/>
          <w:lang w:val="en-US" w:eastAsia="zh-CN" w:bidi="ar-SA"/>
        </w:rPr>
        <w:t>政府性融资担保机构要坚守支小支农融资担保主责主业,主动剥离政府债券发行和政府融资平台融资担保业务,严格控制闲置资金运作规模和风险,不得向非融资担保机构进行股权投资,逐步压缩大中型企业担保业务规模,重点支持单户担保金额500万元以下的小微企业和“三农”主体,支持符合条件的战略性新兴产业项目,确保支小支农担保业务占比达到80%以上。</w:t>
      </w:r>
    </w:p>
    <w:p>
      <w:pPr>
        <w:spacing w:before="105" w:line="590" w:lineRule="exact"/>
        <w:ind w:firstLine="761" w:firstLineChars="238"/>
        <w:rPr>
          <w:rFonts w:hint="eastAsia" w:ascii="仿宋_GB2312" w:hAnsi="仿宋_GB2312" w:eastAsia="仿宋_GB2312" w:cs="仿宋_GB2312"/>
          <w:snapToGrid/>
          <w:kern w:val="2"/>
          <w:sz w:val="32"/>
          <w:szCs w:val="32"/>
          <w:lang w:val="en-US" w:eastAsia="zh-CN" w:bidi="ar-SA"/>
        </w:rPr>
      </w:pPr>
      <w:r>
        <w:rPr>
          <w:rFonts w:hint="eastAsia" w:ascii="黑体" w:hAnsi="黑体" w:eastAsia="黑体" w:cs="黑体"/>
          <w:snapToGrid/>
          <w:kern w:val="2"/>
          <w:sz w:val="32"/>
          <w:szCs w:val="32"/>
          <w:lang w:val="en-US" w:eastAsia="zh-CN" w:bidi="ar-SA"/>
        </w:rPr>
        <w:t>四、降低担保费率。</w:t>
      </w:r>
      <w:r>
        <w:rPr>
          <w:rFonts w:hint="eastAsia" w:ascii="仿宋_GB2312" w:hAnsi="仿宋_GB2312" w:eastAsia="仿宋_GB2312" w:cs="仿宋_GB2312"/>
          <w:snapToGrid/>
          <w:kern w:val="2"/>
          <w:sz w:val="32"/>
          <w:szCs w:val="32"/>
          <w:lang w:val="en-US" w:eastAsia="zh-CN" w:bidi="ar-SA"/>
        </w:rPr>
        <w:t>政府性融资担保机构要坚持保本微利原则,在可持续经营的前提下,适时调降担保费率,对小微企业和“三农”主体实行低收费,力争在2021年年底前将平均担保费率降至1%以下.其中,对单户担保金额500万元以下的小微企业和“三农”主体收取的担保费率降低至不超过1%,对单户担保金额500万元以上的小微企业和“三农”主体收取的担保费率降低至不超过1.5%。</w:t>
      </w:r>
    </w:p>
    <w:p>
      <w:pPr>
        <w:spacing w:before="105" w:line="590" w:lineRule="exact"/>
        <w:ind w:firstLine="761" w:firstLineChars="238"/>
        <w:rPr>
          <w:rFonts w:hint="eastAsia" w:ascii="仿宋_GB2312" w:hAnsi="仿宋_GB2312" w:eastAsia="仿宋_GB2312" w:cs="仿宋_GB2312"/>
          <w:snapToGrid/>
          <w:kern w:val="2"/>
          <w:sz w:val="32"/>
          <w:szCs w:val="32"/>
          <w:lang w:val="en-US" w:eastAsia="zh-CN" w:bidi="ar-SA"/>
        </w:rPr>
      </w:pPr>
      <w:r>
        <w:rPr>
          <w:rFonts w:hint="eastAsia" w:ascii="黑体" w:hAnsi="黑体" w:eastAsia="黑体" w:cs="黑体"/>
          <w:snapToGrid/>
          <w:kern w:val="2"/>
          <w:sz w:val="32"/>
          <w:szCs w:val="32"/>
          <w:lang w:val="en-US" w:eastAsia="zh-CN" w:bidi="ar-SA"/>
        </w:rPr>
        <w:t>五、降低反担保要求。</w:t>
      </w:r>
      <w:r>
        <w:rPr>
          <w:rFonts w:hint="eastAsia" w:ascii="仿宋_GB2312" w:hAnsi="仿宋_GB2312" w:eastAsia="仿宋_GB2312" w:cs="仿宋_GB2312"/>
          <w:snapToGrid/>
          <w:kern w:val="2"/>
          <w:sz w:val="32"/>
          <w:szCs w:val="32"/>
          <w:lang w:val="en-US" w:eastAsia="zh-CN" w:bidi="ar-SA"/>
        </w:rPr>
        <w:t>政府性融资担保机构要创新反担保方式,降低反担保要求,提高信用与保证类担保占比,降低小微企业、“三农”和创业创新主体融资门槛,有效解决融资难问题。有关部门(机构)要依法及时为符合条件的融资抵押、质押办理登记手续。</w:t>
      </w:r>
    </w:p>
    <w:p>
      <w:pPr>
        <w:spacing w:before="105" w:line="590" w:lineRule="exact"/>
        <w:ind w:firstLine="761" w:firstLineChars="238"/>
        <w:rPr>
          <w:rFonts w:hint="eastAsia" w:ascii="仿宋_GB2312" w:hAnsi="仿宋_GB2312" w:eastAsia="仿宋_GB2312" w:cs="仿宋_GB2312"/>
          <w:snapToGrid/>
          <w:kern w:val="2"/>
          <w:sz w:val="32"/>
          <w:szCs w:val="32"/>
          <w:lang w:val="en-US" w:eastAsia="zh-CN" w:bidi="ar-SA"/>
        </w:rPr>
      </w:pPr>
      <w:r>
        <w:rPr>
          <w:rFonts w:hint="eastAsia" w:ascii="黑体" w:hAnsi="黑体" w:eastAsia="黑体" w:cs="黑体"/>
          <w:snapToGrid/>
          <w:kern w:val="2"/>
          <w:sz w:val="32"/>
          <w:szCs w:val="32"/>
          <w:lang w:val="en-US" w:eastAsia="zh-CN" w:bidi="ar-SA"/>
        </w:rPr>
        <w:t>六、加强风险管控。</w:t>
      </w:r>
      <w:r>
        <w:rPr>
          <w:rFonts w:hint="eastAsia" w:ascii="仿宋_GB2312" w:hAnsi="仿宋_GB2312" w:eastAsia="仿宋_GB2312" w:cs="仿宋_GB2312"/>
          <w:snapToGrid/>
          <w:kern w:val="2"/>
          <w:sz w:val="32"/>
          <w:szCs w:val="32"/>
          <w:lang w:val="en-US" w:eastAsia="zh-CN" w:bidi="ar-SA"/>
        </w:rPr>
        <w:t>政府性融资担保机构要建立完善担前审查和担后管理等风险防控制度,切实加强风险研判和防控,防止银行业金融机构将应由自身承担的贷款风险转由融资担保机构承担。</w:t>
      </w:r>
    </w:p>
    <w:p>
      <w:pPr>
        <w:spacing w:before="105" w:line="590" w:lineRule="exact"/>
        <w:ind w:firstLine="761" w:firstLineChars="238"/>
        <w:rPr>
          <w:rFonts w:hint="eastAsia" w:ascii="仿宋_GB2312" w:hAnsi="仿宋_GB2312" w:eastAsia="仿宋_GB2312" w:cs="仿宋_GB2312"/>
          <w:snapToGrid/>
          <w:kern w:val="2"/>
          <w:sz w:val="32"/>
          <w:szCs w:val="32"/>
          <w:lang w:val="en-US" w:eastAsia="zh-CN" w:bidi="ar-SA"/>
        </w:rPr>
      </w:pPr>
      <w:r>
        <w:rPr>
          <w:rFonts w:hint="eastAsia" w:ascii="黑体" w:hAnsi="黑体" w:eastAsia="黑体" w:cs="黑体"/>
          <w:snapToGrid/>
          <w:kern w:val="2"/>
          <w:sz w:val="32"/>
          <w:szCs w:val="32"/>
          <w:lang w:val="en-US" w:eastAsia="zh-CN" w:bidi="ar-SA"/>
        </w:rPr>
        <w:t>七、明确风险分担责任。</w:t>
      </w:r>
      <w:r>
        <w:rPr>
          <w:rFonts w:hint="eastAsia" w:ascii="仿宋_GB2312" w:hAnsi="仿宋_GB2312" w:eastAsia="仿宋_GB2312" w:cs="仿宋_GB2312"/>
          <w:snapToGrid/>
          <w:kern w:val="2"/>
          <w:sz w:val="32"/>
          <w:szCs w:val="32"/>
          <w:lang w:val="en-US" w:eastAsia="zh-CN" w:bidi="ar-SA"/>
        </w:rPr>
        <w:t>积极参与由省再担保机构牵头推动的政府性融资担保机构与银行业金融机构的“总对总”合作,落实三方2:6:2的风险分担机制。政府性融资担保机构要按照“先代偿、后分险”原则,落实代偿和分险责任。</w:t>
      </w:r>
    </w:p>
    <w:p>
      <w:pPr>
        <w:spacing w:before="105" w:line="590" w:lineRule="exact"/>
        <w:ind w:firstLine="761" w:firstLineChars="238"/>
        <w:rPr>
          <w:rFonts w:hint="eastAsia" w:ascii="仿宋_GB2312" w:hAnsi="仿宋_GB2312" w:eastAsia="仿宋_GB2312" w:cs="仿宋_GB2312"/>
          <w:snapToGrid/>
          <w:kern w:val="2"/>
          <w:sz w:val="32"/>
          <w:szCs w:val="32"/>
          <w:lang w:val="en-US" w:eastAsia="zh-CN" w:bidi="ar-SA"/>
        </w:rPr>
      </w:pPr>
      <w:r>
        <w:rPr>
          <w:rFonts w:hint="eastAsia" w:ascii="黑体" w:hAnsi="黑体" w:eastAsia="黑体" w:cs="黑体"/>
          <w:snapToGrid/>
          <w:kern w:val="2"/>
          <w:sz w:val="32"/>
          <w:szCs w:val="32"/>
          <w:lang w:val="en-US" w:eastAsia="zh-CN" w:bidi="ar-SA"/>
        </w:rPr>
        <w:t>八、规范收费。</w:t>
      </w:r>
      <w:r>
        <w:rPr>
          <w:rFonts w:hint="eastAsia" w:ascii="仿宋_GB2312" w:hAnsi="仿宋_GB2312" w:eastAsia="仿宋_GB2312" w:cs="仿宋_GB2312"/>
          <w:snapToGrid/>
          <w:kern w:val="2"/>
          <w:sz w:val="32"/>
          <w:szCs w:val="32"/>
          <w:lang w:val="en-US" w:eastAsia="zh-CN" w:bidi="ar-SA"/>
        </w:rPr>
        <w:t>除担保费外,政府性融资担保机构不得以保证金、承诺费、咨询费、顾问费、注册费、资料费等名义收取费用,避免加重企业负担。</w:t>
      </w:r>
    </w:p>
    <w:p>
      <w:pPr>
        <w:spacing w:before="105" w:line="590" w:lineRule="exact"/>
        <w:ind w:firstLine="761" w:firstLineChars="238"/>
        <w:rPr>
          <w:rFonts w:hint="eastAsia" w:ascii="仿宋_GB2312" w:hAnsi="仿宋_GB2312" w:eastAsia="仿宋_GB2312" w:cs="仿宋_GB2312"/>
          <w:snapToGrid/>
          <w:kern w:val="2"/>
          <w:sz w:val="32"/>
          <w:szCs w:val="32"/>
          <w:lang w:val="en-US" w:eastAsia="zh-CN" w:bidi="ar-SA"/>
        </w:rPr>
      </w:pPr>
    </w:p>
    <w:p>
      <w:pPr>
        <w:spacing w:before="105" w:line="590" w:lineRule="exact"/>
        <w:ind w:firstLine="761" w:firstLineChars="238"/>
        <w:rPr>
          <w:rFonts w:hint="eastAsia" w:ascii="仿宋_GB2312" w:hAnsi="仿宋_GB2312" w:eastAsia="仿宋_GB2312" w:cs="仿宋_GB2312"/>
          <w:snapToGrid/>
          <w:kern w:val="2"/>
          <w:sz w:val="32"/>
          <w:szCs w:val="32"/>
          <w:lang w:val="en-US" w:eastAsia="zh-CN" w:bidi="ar-SA"/>
        </w:rPr>
      </w:pPr>
    </w:p>
    <w:p>
      <w:pPr>
        <w:spacing w:before="105" w:line="590" w:lineRule="exact"/>
        <w:ind w:firstLine="761" w:firstLineChars="238"/>
        <w:rPr>
          <w:rFonts w:hint="eastAsia" w:ascii="仿宋_GB2312" w:hAnsi="仿宋_GB2312" w:eastAsia="仿宋_GB2312" w:cs="仿宋_GB2312"/>
          <w:snapToGrid/>
          <w:kern w:val="2"/>
          <w:sz w:val="32"/>
          <w:szCs w:val="32"/>
          <w:lang w:val="en-US" w:eastAsia="zh-CN" w:bidi="ar-SA"/>
        </w:rPr>
      </w:pPr>
    </w:p>
    <w:p>
      <w:pPr>
        <w:spacing w:before="105" w:line="590" w:lineRule="exact"/>
        <w:ind w:firstLine="5558" w:firstLineChars="1737"/>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潢川县金融服务中心</w:t>
      </w:r>
    </w:p>
    <w:p>
      <w:pPr>
        <w:spacing w:before="105" w:line="590" w:lineRule="exact"/>
        <w:ind w:firstLine="6198" w:firstLineChars="1937"/>
        <w:rPr>
          <w:rFonts w:hint="default"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2021年3月12日</w:t>
      </w:r>
    </w:p>
    <w:sectPr>
      <w:footerReference r:id="rId5" w:type="default"/>
      <w:pgSz w:w="11900" w:h="16830"/>
      <w:pgMar w:top="1430" w:right="1489" w:bottom="400" w:left="127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DE31A65"/>
    <w:rsid w:val="44D6558C"/>
    <w:rsid w:val="4BBD1BCE"/>
    <w:rsid w:val="782A07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28</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2022-02-18T00:35:00Z</dcterms:created>
  <dc:creator>Administrator</dc:creator>
  <cp:lastModifiedBy>Y.N.</cp:lastModifiedBy>
  <dcterms:modified xsi:type="dcterms:W3CDTF">2022-03-18T01:21:47Z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2022-02-18T08:35:02Z</vt:filetime>
  </property>
  <property fmtid="{D5CDD505-2E9C-101B-9397-08002B2CF9AE}" pid="4" name="KSOProductBuildVer">
    <vt:lpwstr>2052-11.1.0.11365</vt:lpwstr>
  </property>
  <property fmtid="{D5CDD505-2E9C-101B-9397-08002B2CF9AE}" pid="5" name="ICV">
    <vt:lpwstr>8348D91F41314EF3AEE5D26594EFF64A</vt:lpwstr>
  </property>
</Properties>
</file>