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</w:pPr>
      <w:bookmarkStart w:id="0" w:name="bookmark0"/>
      <w:bookmarkStart w:id="1" w:name="bookmark2"/>
      <w:bookmarkStart w:id="2" w:name="bookmark1"/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  <w:t>信阳银保监分局潢川监管组</w:t>
      </w:r>
      <w:r>
        <w:rPr>
          <w:color w:val="000000"/>
          <w:spacing w:val="0"/>
          <w:w w:val="100"/>
          <w:position w:val="0"/>
        </w:rPr>
        <w:br w:type="textWrapping"/>
      </w:r>
      <w:bookmarkEnd w:id="0"/>
      <w:bookmarkEnd w:id="1"/>
      <w:bookmarkEnd w:id="2"/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  <w:t>关于《进一步规范银行业金融机构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  <w:t>吸收公款存款行为》的通知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0"/>
        <w:jc w:val="both"/>
        <w:textAlignment w:val="auto"/>
        <w:rPr>
          <w:rFonts w:hint="eastAsia" w:ascii="Calibri" w:hAnsi="Calibri" w:eastAsia="宋体"/>
          <w:spacing w:val="0"/>
          <w:w w:val="100"/>
          <w:kern w:val="2"/>
          <w:position w:val="0"/>
          <w:sz w:val="21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潢川县各银行机构：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  <w:t>为整顿规范银行业金融机构吸收公款存款行为，强化廉洁从业，严禁利益输送，防范道德风险，提升服务水平，现就有关事项作出通知。本通知所指公款是指财政专户资金、预算单位银行账户资金和国有企事业单位银行账户资金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  <w:r>
        <w:rPr>
          <w:rFonts w:hint="eastAsia" w:ascii="黑体" w:hAnsi="黑体" w:eastAsia="黑体" w:cs="黑体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  <w:t>一、加强业务管理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  <w:t>银行业金融机构应明确规定吸收公款存款的具体形式、费用标准和管理流程，加强相关费用支出的财务管理。银行业金融机构应完善薪酬管理制度，改进绩效考评体系，不得设立时点性存款规模、市场份额或排名等指标。银行业金融机构应强化吸收公款存款行为的审计监督，对违规问题严格问责和整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  <w:r>
        <w:rPr>
          <w:rFonts w:hint="eastAsia" w:ascii="黑体" w:hAnsi="黑体" w:eastAsia="黑体" w:cs="黑体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  <w:t>二、严禁利益输送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  <w:t>银行业金融机构应督促员工遵守行业行为规范，恪守职业道德操守，廉洁从业。银行业金融机构办理公款存款业务，不得向公款存放主体相关负责人员赠送现金、有价证券与实物等;不得通过安排公款存放主体相关负责人员的配偶、子女及其配偶和其他直接利益相关人员就业、升职，或向上述人员发放奖酬等方式进行利益输送。若公款存放主体相关负责人员的配偶、子女及其配偶和其他直接利益相关人员为银行业金融机构员工，该员工应实行回避，对不按规定回避的，所在机构要作出严肃处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  <w:r>
        <w:rPr>
          <w:rFonts w:hint="eastAsia" w:ascii="黑体" w:hAnsi="黑体" w:eastAsia="黑体" w:cs="黑体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  <w:t>三、提升服务水平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  <w:t>银行业金融机构应充分尊重公款存放主体的意愿和服务需求，按照公开、公平、公正原则与公款存放主体开展业务合作。银行业金融机构应积极主动参加公款存放银行的评选，持续优化业务流程，丰富产品种类，不断提升存款综合服务水平。要尽可能减少额外的手续和费用，尽可能避免不必要的公款存款大规模搬家。银行业金融机构应通过质量优、效益好、安全性高的服务，盘活相关银行账户存量资金，增加资金存放综合效益，提高客户资金的保值增值水平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  <w:t>四、</w:t>
      </w:r>
      <w:r>
        <w:rPr>
          <w:rFonts w:hint="eastAsia" w:ascii="黑体" w:hAnsi="黑体" w:eastAsia="黑体" w:cs="黑体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完善专项工作机制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各银行机构要加强内部组织领导，成立由行领导任组长的领导小组，构建有效的工作推进机制，加强与地方政府主管部门、人民银行的沟通，严格落实相关的政策制度，同时要按照风险可控、有利长远的原则，推动各金融机构商业可持续性稳步发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rightChars="0" w:firstLine="0"/>
        <w:jc w:val="righ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信阳银保监分局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eastAsia="zh-CN" w:bidi="ar-SA"/>
        </w:rPr>
        <w:t>潢川监管组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rightChars="0" w:firstLine="0"/>
        <w:jc w:val="right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2021年7月18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 xml:space="preserve">日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420" w:firstLineChars="200"/>
        <w:jc w:val="both"/>
        <w:textAlignment w:val="auto"/>
        <w:rPr>
          <w:rFonts w:ascii="Calibri" w:hAnsi="Calibri" w:eastAsia="宋体"/>
          <w:spacing w:val="0"/>
          <w:w w:val="100"/>
          <w:kern w:val="2"/>
          <w:position w:val="0"/>
          <w:sz w:val="21"/>
          <w:shd w:val="clear"/>
          <w:lang w:eastAsia="zh-CN" w:bidi="ar-SA"/>
        </w:rPr>
      </w:pPr>
    </w:p>
    <w:p>
      <w:pPr>
        <w:widowControl w:val="0"/>
        <w:jc w:val="right"/>
        <w:rPr>
          <w:sz w:val="2"/>
          <w:szCs w:val="2"/>
        </w:rPr>
      </w:pPr>
    </w:p>
    <w:sectPr>
      <w:footnotePr>
        <w:numFmt w:val="decimal"/>
      </w:footnotePr>
      <w:pgSz w:w="11900" w:h="16840"/>
      <w:pgMar w:top="1362" w:right="1694" w:bottom="1815" w:left="1720" w:header="934" w:footer="138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C734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520" w:line="535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2022-03-18T03:25:21Z</dcterms:created>
  <dc:creator>Administrator</dc:creator>
  <cp:lastModifiedBy>Y.N.</cp:lastModifiedBy>
  <dcterms:modified xsi:type="dcterms:W3CDTF">2022-03-18T03:34:03Z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73FEB9F7FEAC40E0A6F8C68D3518025D</vt:lpwstr>
  </property>
</Properties>
</file>