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潢公管办（2021）1号</w:t>
      </w:r>
    </w:p>
    <w:p>
      <w:pPr>
        <w:jc w:val="both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潢川县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公共资源交易管理委员会办公室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公共资源交易活动行政监督职责分工的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公共资源交易管理委员会成员单位: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为深入贯彻《中华人民共和国招标投标法》《中华人民共和国招标投标法实施条例》《河南省实施&lt;中华人民共和国招标投标法&gt;办法》等法律法规,切实做好我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公共资源交易管理工作,现就我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本级公共资源交易活动行政监督职责分工通知如下: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工业和信息化局:负责国有企业工业类项目招投标活动的监督管理。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发展和改革委员会:负责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政府投资的重点项目招投标活动的监督管理。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财政局:依法对纳入政府采购监管范围的货物、服务及工程采购项目进行监督管理;依法处理政府采购项目投诉,对违反政府采购法规的行为进行处理;依法对国有产权交易和国有企业货物、工程及服务采购项目进行监督管理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自然资源和规划局:负责国有土地使用权出让和土地整理项目交易活动的监督管理;负责矿业权出让项目招投标活动的监督管理。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林业和茶产业局:负责林业及其生态建设项目招投标活动的监督管理。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住房和城乡建设局:负责房屋建筑及其附属设施的建造和与其配套的线路、管道、设施的安装项目及园林绿化、城区河道建设和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政工程等项目的招投标活动的监督管理。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交通运输局:负责交通工程建设项目招投标活动的监督管理。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水利局:负责水利工程建设项目招投标活动的监督管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商务局:负责进口机电设备采购项目招投标活动的监督管理。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农业农村局:负责农业工程项目招投标活动的监督管理。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卫生和健康委员会:负责医疗器械集中采购项目招投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标活动的监督管理.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医保局:负责药品、医用耗材和疫苗集中采购项目招投标活动的监督管理。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各有关部门要严格依照上述职责分工,各司其职,密切配合,共同做好招投标的监督管理工作。如有公共资源交易活动的行政监督职责在以上分工中未界定的,由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公共资源交易管理委员会办公室会商有关部门并报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政府同意后予以明确。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1600"/>
    <w:rsid w:val="03273582"/>
    <w:rsid w:val="0B6B7566"/>
    <w:rsid w:val="10BE04D8"/>
    <w:rsid w:val="121C22EC"/>
    <w:rsid w:val="1538782F"/>
    <w:rsid w:val="1650666B"/>
    <w:rsid w:val="18CE488E"/>
    <w:rsid w:val="1F4275F0"/>
    <w:rsid w:val="29B41600"/>
    <w:rsid w:val="32CB52A2"/>
    <w:rsid w:val="34970A6A"/>
    <w:rsid w:val="52FE2E6F"/>
    <w:rsid w:val="5CEA247D"/>
    <w:rsid w:val="61563782"/>
    <w:rsid w:val="638D02C9"/>
    <w:rsid w:val="65005DED"/>
    <w:rsid w:val="6A676AA1"/>
    <w:rsid w:val="772B7B6A"/>
    <w:rsid w:val="7B605C6C"/>
    <w:rsid w:val="7DF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2021-11-06T03:17:00Z</dcterms:created>
  <dc:creator>永不放弃</dc:creator>
  <cp:lastModifiedBy>admin</cp:lastModifiedBy>
  <cp:lastPrinted>2021-12-06T02:58:00Z</cp:lastPrinted>
  <dcterms:modified xsi:type="dcterms:W3CDTF">2021-12-06T11:39:01Z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8587C9362B2F4C08816630D00DB126F5</vt:lpwstr>
  </property>
</Properties>
</file>