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sz w:val="2"/>
          <w:szCs w:val="2"/>
        </w:rPr>
      </w:pPr>
    </w:p>
    <w:p>
      <w:pPr>
        <w:pStyle w:val="8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  <w:u w:val="none"/>
          <w:shd w:val="clear" w:color="auto" w:fill="auto"/>
          <w:lang w:val="en-US" w:eastAsia="zh-CN" w:bidi="zh-TW"/>
        </w:rPr>
      </w:pPr>
      <w:bookmarkStart w:id="0" w:name="bookmark0"/>
      <w:bookmarkStart w:id="1" w:name="bookmark2"/>
      <w:bookmarkStart w:id="2" w:name="bookmark1"/>
    </w:p>
    <w:p>
      <w:pPr>
        <w:pStyle w:val="8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  <w:u w:val="none"/>
          <w:shd w:val="clear" w:color="auto" w:fill="auto"/>
          <w:lang w:val="en-US" w:eastAsia="zh-CN" w:bidi="zh-TW"/>
        </w:rPr>
      </w:pPr>
    </w:p>
    <w:p>
      <w:pPr>
        <w:pStyle w:val="8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  <w:u w:val="none"/>
          <w:shd w:val="clear" w:color="auto" w:fill="auto"/>
          <w:lang w:val="en-US" w:eastAsia="zh-CN" w:bidi="zh-TW"/>
        </w:rPr>
      </w:pPr>
    </w:p>
    <w:p>
      <w:pPr>
        <w:pStyle w:val="8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  <w:rPr>
          <w:rFonts w:hint="eastAsia"/>
          <w:b/>
          <w:bCs/>
          <w:color w:val="000000"/>
          <w:spacing w:val="0"/>
          <w:w w:val="100"/>
          <w:positio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潢公管办（2021）5</w:t>
      </w:r>
      <w:bookmarkStart w:id="13" w:name="_GoBack"/>
      <w:bookmarkEnd w:id="1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号</w:t>
      </w:r>
    </w:p>
    <w:p>
      <w:pPr>
        <w:pStyle w:val="8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36"/>
          <w:szCs w:val="36"/>
          <w:lang w:val="en-US" w:eastAsia="zh-CN"/>
        </w:rPr>
        <w:t>潢川县</w:t>
      </w:r>
      <w:r>
        <w:rPr>
          <w:b/>
          <w:bCs/>
          <w:color w:val="000000"/>
          <w:spacing w:val="0"/>
          <w:w w:val="100"/>
          <w:position w:val="0"/>
          <w:sz w:val="36"/>
          <w:szCs w:val="36"/>
        </w:rPr>
        <w:t>公共资源交易管理委员会办公室</w:t>
      </w:r>
      <w:r>
        <w:rPr>
          <w:b/>
          <w:bCs/>
          <w:color w:val="000000"/>
          <w:spacing w:val="0"/>
          <w:w w:val="100"/>
          <w:position w:val="0"/>
          <w:sz w:val="36"/>
          <w:szCs w:val="36"/>
        </w:rPr>
        <w:br w:type="textWrapping"/>
      </w:r>
      <w:r>
        <w:rPr>
          <w:b/>
          <w:bCs/>
          <w:color w:val="000000"/>
          <w:spacing w:val="0"/>
          <w:w w:val="100"/>
          <w:position w:val="0"/>
          <w:sz w:val="36"/>
          <w:szCs w:val="36"/>
        </w:rPr>
        <w:t>关于加强公共资源交易领域协同监管和</w:t>
      </w:r>
      <w:r>
        <w:rPr>
          <w:b/>
          <w:bCs/>
          <w:color w:val="000000"/>
          <w:spacing w:val="0"/>
          <w:w w:val="100"/>
          <w:position w:val="0"/>
          <w:sz w:val="36"/>
          <w:szCs w:val="36"/>
        </w:rPr>
        <w:br w:type="textWrapping"/>
      </w:r>
      <w:r>
        <w:rPr>
          <w:b/>
          <w:bCs/>
          <w:color w:val="000000"/>
          <w:spacing w:val="0"/>
          <w:w w:val="100"/>
          <w:position w:val="0"/>
          <w:sz w:val="36"/>
          <w:szCs w:val="36"/>
        </w:rPr>
        <w:t>问题线索移送工作的通知</w:t>
      </w:r>
      <w:bookmarkEnd w:id="0"/>
      <w:bookmarkEnd w:id="1"/>
      <w:bookmarkEnd w:id="2"/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公共资源交易管理委员会各成员单位：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8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为持续优化公共资源交易领域营商环境，根据《国务院办公厅转发国家发展改革委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&lt;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关于深化公共资源交易平台整合共享指导意见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&gt;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的通知》（国办函〔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〕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41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号）、《河南省优化营商环境条例》等文件精神，以监管方式创新提升事中事后监管效能，建立各司其职、各负其责、横向协调、纵向联通的公共资源交易协同监管机制，规范公共资源交易活动行为，建立公开、公平、公正和诚实守信的交易秩序。现将有关要求通知如下：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2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3" w:name="bookmark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一</w:t>
      </w:r>
      <w:bookmarkEnd w:id="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强化统筹指导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县公共资源交易管理委员会办公室（以下简称：公管办）及时研判公共资源交易监督管理的新情况和新问题，切实加强统筹协调。公管办负责组织拟订公共资源交易工作措施和规章制度；对公共资源交易工作进行规范、协调服务和综合监管，指导各行政监督部门对公共资源交易活动进行监督检查；协调有关行政监督部门加强公共资源交易事中事后监管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2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4" w:name="bookmark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二</w:t>
      </w:r>
      <w:bookmarkEnd w:id="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加强分工协作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5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5" w:name="bookmark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一）建立协同监管会商机制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由公管办牵头，各行政监督部门参与，每季度召开协同监管联合会商会议，遇到重大风险或其他必要情况，可由公管委成员单位提请召开联合会商会议。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联合会商会议主要任务：确定年度公共资源交易领域监管工作计划；协调解决跨部门监管中存在的问题；督促各单位实施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“双随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机一公开”联合检查工作。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5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6" w:name="bookmark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二）严格落实监管责任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各行政监督部门按照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公管办《关于公共资源交易活动行政监督职责分工的意见》要求，按照职责分工分别负责相应领域公共资源交易活动、合同履行情况、事中事后的监管，并依法查处违法违规行为。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7" w:name="bookmark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三）推行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“双随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机一公开”联合工作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全面推行“双随机一公开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”监督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检查,建立联合监管机制， 依法依规严查围标串标、弄虚作假、暗箱操作、玩忽职守、转包、违法分包等违法违纪违规行为，严肃追究相关责任人责任。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2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8" w:name="bookmark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三</w:t>
      </w:r>
      <w:bookmarkEnd w:id="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、完善投诉处理机制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各行政监督部门应按照职能职责依法依规受理、处理有关投诉举报，按照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“13710”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工作制度，按时反馈办理结果。各行政监督部门应主动向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公管办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反馈以纸质形式线下提交的投诉举报办理情况，依法依规进行公开。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2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9" w:name="bookmark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四</w:t>
      </w:r>
      <w:bookmarkEnd w:id="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建立问题和线索移交机制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（一）建立案件查处、移送机制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在日常交易及专项检查中发现的问题和线索，应当由行政监督部门依照职能调查处理；需要移送的，按照下列规定移送有关部门、机关处理：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0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10" w:name="bookmark10"/>
      <w:bookmarkEnd w:id="1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发现有关单位及其工作人员涉嫌违反《中华人民共和国刑法》，需要追究刑事责任的，移送司法机关处理；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11" w:name="bookmark11"/>
      <w:bookmarkEnd w:id="1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发现有关单位及其工作人员涉嫌违纪的，移送纪检监 察机关处理；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12" w:name="bookmark12"/>
      <w:bookmarkEnd w:id="1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发现有关单位及其工作人员的违法行为，依据法律法规规定，应当降低资质等级、吊销资质证书（营业执照）或予以其他行政处罚的，移送相关管理部门处理。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（二）建立监管信息共享机制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00" w:line="540" w:lineRule="exact"/>
        <w:ind w:left="0" w:right="0" w:firstLine="618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推进公共资源监管系统建设，建立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各行政监督部门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同纪检监察、审计机关联动机制，为纪委监委、审计部门等提供在线 监管通道。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各行政监督部门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要积极配合巡察、审计工作，向纪检监察、审计机关反馈有关交易数据，为实施监督提供数据支撑。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00" w:line="560" w:lineRule="exact"/>
        <w:ind w:left="0" w:right="0" w:firstLine="5562" w:firstLineChars="1854"/>
        <w:jc w:val="both"/>
        <w:textAlignment w:val="auto"/>
        <w:rPr>
          <w:rFonts w:hint="default" w:eastAsia="宋体"/>
          <w:lang w:val="en-US" w:eastAsia="zh-CN"/>
        </w:rPr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397" w:right="1578" w:bottom="1448" w:left="2012" w:header="0" w:footer="3" w:gutter="0"/>
          <w:pgNumType w:fmt="decimalFullWidth" w:start="1"/>
          <w:cols w:space="720" w:num="1"/>
          <w:titlePg/>
          <w:rtlGutter w:val="0"/>
          <w:docGrid w:linePitch="360" w:charSpace="0"/>
        </w:sectPr>
      </w:pPr>
      <w:r>
        <w:rPr>
          <w:rFonts w:hint="eastAsia"/>
          <w:lang w:val="en-US" w:eastAsia="zh-CN"/>
        </w:rPr>
        <w:t>2021年11月17日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u w:val="none"/>
          <w:shd w:val="clear" w:color="auto" w:fill="auto"/>
          <w:lang w:val="en-US" w:eastAsia="zh-CN" w:bidi="zh-TW"/>
        </w:rPr>
      </w:pPr>
      <w:r>
        <w:rPr>
          <w:rFonts w:hint="eastAsia" w:eastAsia="宋体"/>
          <w:sz w:val="19"/>
          <w:szCs w:val="19"/>
          <w:lang w:eastAsia="zh-CN"/>
        </w:rPr>
        <w:tab/>
      </w:r>
      <w:r>
        <w:rPr>
          <w:rFonts w:hint="eastAsia"/>
          <w:sz w:val="19"/>
          <w:szCs w:val="19"/>
          <w:lang w:val="en-US" w:eastAsia="zh-CN"/>
        </w:rPr>
        <w:t xml:space="preserve">                                  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center" w:pos="5950"/>
        </w:tabs>
        <w:bidi w:val="0"/>
        <w:spacing w:before="0" w:after="0" w:line="240" w:lineRule="auto"/>
        <w:ind w:left="0" w:right="0" w:firstLine="0"/>
        <w:jc w:val="left"/>
        <w:rPr>
          <w:rFonts w:hint="default" w:eastAsia="宋体"/>
          <w:lang w:val="en-US" w:eastAsia="zh-CN"/>
        </w:rPr>
      </w:pPr>
    </w:p>
    <w:p>
      <w:pPr>
        <w:widowControl w:val="0"/>
        <w:tabs>
          <w:tab w:val="left" w:pos="2164"/>
        </w:tabs>
        <w:spacing w:line="240" w:lineRule="exact"/>
        <w:rPr>
          <w:sz w:val="19"/>
          <w:szCs w:val="19"/>
        </w:rPr>
      </w:pP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1364" w:right="0" w:bottom="1120" w:left="0" w:header="0" w:footer="3" w:gutter="0"/>
          <w:pgNumType w:fmt="decimalFullWidth"/>
          <w:cols w:space="720" w:num="1"/>
          <w:rtlGutter w:val="0"/>
          <w:docGrid w:linePitch="360" w:charSpace="0"/>
        </w:sectPr>
      </w:pPr>
    </w:p>
    <w:p>
      <w:pPr>
        <w:widowControl w:val="0"/>
        <w:spacing w:after="337" w:line="1" w:lineRule="exact"/>
      </w:pPr>
    </w:p>
    <w:p>
      <w:pPr>
        <w:widowControl w:val="0"/>
        <w:spacing w:line="1" w:lineRule="exact"/>
      </w:pPr>
    </w:p>
    <w:sectPr>
      <w:footnotePr>
        <w:numFmt w:val="decimal"/>
      </w:footnotePr>
      <w:type w:val="continuous"/>
      <w:pgSz w:w="11900" w:h="16840"/>
      <w:pgMar w:top="1364" w:right="1677" w:bottom="1120" w:left="1972" w:header="0" w:footer="3" w:gutter="0"/>
      <w:pgNumType w:fmt="decimalFullWidth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9935210</wp:posOffset>
              </wp:positionV>
              <wp:extent cx="347345" cy="10985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34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top:782.3pt;height:8.65pt;width:27.35pt;mso-position-horizontal:center;mso-position-horizontal-relative:margin;mso-position-vertical-relative:page;mso-wrap-style:none;z-index:251659264;mso-width-relative:page;mso-height-relative:page;" filled="f" stroked="f" coordsize="21600,21600" o:gfxdata="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2zJNjVAAAA&#10;CQEAAA8AAAAAAAAAAQAgAAAAIgAAAGRycy9kb3ducmV2LnhtbFBLAQIUABQAAAAIAIdO4kB309tf&#10;rgEAAG8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9935210</wp:posOffset>
              </wp:positionV>
              <wp:extent cx="370205" cy="10985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20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1026" o:spt="202" type="#_x0000_t202" style="position:absolute;left:0pt;margin-top:782.3pt;height:8.65pt;width:29.15pt;mso-position-horizontal:center;mso-position-horizontal-relative:margin;mso-position-vertical-relative:page;mso-wrap-style:none;z-index:251659264;mso-width-relative:page;mso-height-relative:page;" filled="f" stroked="f" coordsize="21600,21600" o:gfxdata="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UO/RtUAAAAJ&#10;AQAADwAAAAAAAAABACAAAAAiAAAAZHJzL2Rvd25yZXYueG1sUEsBAhQAFAAAAAgAh07iQCrC1Kat&#10;AQAAbw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9935210</wp:posOffset>
              </wp:positionV>
              <wp:extent cx="205740" cy="10541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26" o:spt="202" type="#_x0000_t202" style="position:absolute;left:0pt;margin-top:782.3pt;height:8.3pt;width:16.2pt;mso-position-horizontal:center;mso-position-horizontal-relative:margin;mso-position-vertical-relative:page;mso-wrap-style:none;z-index:251659264;mso-width-relative:page;mso-height-relative:page;" filled="f" stroked="f" coordsize="21600,21600" o:gfxdata="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+3vJeNUAAAAJ&#10;AQAADwAAAAAAAAABACAAAAAiAAAAZHJzL2Rvd25yZXYueG1sUEsBAhQAFAAAAAgAh07iQHF8kyat&#10;AQAAbw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55D410A"/>
    <w:rsid w:val="06D34BFA"/>
    <w:rsid w:val="20C40560"/>
    <w:rsid w:val="219B11FB"/>
    <w:rsid w:val="24EB21D2"/>
    <w:rsid w:val="25867FD4"/>
    <w:rsid w:val="27B53CA1"/>
    <w:rsid w:val="2CDF614E"/>
    <w:rsid w:val="48973038"/>
    <w:rsid w:val="4D3C7046"/>
    <w:rsid w:val="4F28356D"/>
    <w:rsid w:val="5ED12D02"/>
    <w:rsid w:val="68D04EC5"/>
    <w:rsid w:val="6B4A74FD"/>
    <w:rsid w:val="6C77556C"/>
    <w:rsid w:val="6D6229A4"/>
    <w:rsid w:val="784C5D09"/>
    <w:rsid w:val="7CF44998"/>
    <w:rsid w:val="7D8250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Header or footer|2_"/>
    <w:basedOn w:val="4"/>
    <w:link w:val="6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">
    <w:name w:val="Header or footer|2"/>
    <w:basedOn w:val="1"/>
    <w:link w:val="5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7">
    <w:name w:val="Heading #1|1_"/>
    <w:basedOn w:val="4"/>
    <w:link w:val="8"/>
    <w:qFormat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widowControl w:val="0"/>
      <w:shd w:val="clear" w:color="auto" w:fill="auto"/>
      <w:spacing w:after="540" w:line="601" w:lineRule="exact"/>
      <w:jc w:val="center"/>
      <w:outlineLvl w:val="0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9">
    <w:name w:val="Body text|1_"/>
    <w:basedOn w:val="4"/>
    <w:link w:val="1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1">
    <w:name w:val="Body text|2_"/>
    <w:basedOn w:val="4"/>
    <w:link w:val="12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link w:val="11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3">
    <w:name w:val="Body text|3_"/>
    <w:basedOn w:val="4"/>
    <w:link w:val="14"/>
    <w:qFormat/>
    <w:uiPriority w:val="0"/>
    <w:rPr>
      <w:u w:val="none"/>
      <w:shd w:val="clear" w:color="auto" w:fill="auto"/>
      <w:lang w:val="zh-TW" w:eastAsia="zh-TW" w:bidi="zh-TW"/>
    </w:rPr>
  </w:style>
  <w:style w:type="paragraph" w:customStyle="1" w:styleId="14">
    <w:name w:val="Body text|3"/>
    <w:basedOn w:val="1"/>
    <w:link w:val="13"/>
    <w:qFormat/>
    <w:uiPriority w:val="0"/>
    <w:pPr>
      <w:widowControl w:val="0"/>
      <w:shd w:val="clear" w:color="auto" w:fill="auto"/>
    </w:pPr>
    <w:rPr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Office_11.1.0.10502_F1E327BC-269C-435d-A152-05C5408002CA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2021-12-04T12:48:00Z</dcterms:created>
  <dc:creator>lenovo</dc:creator>
  <cp:lastModifiedBy>admin</cp:lastModifiedBy>
  <cp:lastPrinted>2021-12-06T03:01:49Z</cp:lastPrinted>
  <dcterms:modified xsi:type="dcterms:W3CDTF">2021-12-06T03:01:59Z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D95D348C0C5E47179FAB7FE7C2D877E8</vt:lpwstr>
  </property>
</Properties>
</file>