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CB" w:rsidRPr="00DE57CB" w:rsidRDefault="00DE57CB" w:rsidP="00DE57CB">
      <w:pPr>
        <w:widowControl/>
        <w:shd w:val="clear" w:color="auto" w:fill="FFFFFF"/>
        <w:spacing w:before="600"/>
        <w:jc w:val="center"/>
        <w:outlineLvl w:val="0"/>
        <w:rPr>
          <w:rFonts w:ascii="微软雅黑" w:eastAsia="微软雅黑" w:hAnsi="微软雅黑" w:cs="宋体"/>
          <w:b/>
          <w:bCs/>
          <w:color w:val="333333"/>
          <w:kern w:val="36"/>
          <w:sz w:val="50"/>
          <w:szCs w:val="50"/>
        </w:rPr>
      </w:pPr>
      <w:r w:rsidRPr="00DE57CB">
        <w:rPr>
          <w:rFonts w:ascii="微软雅黑" w:eastAsia="微软雅黑" w:hAnsi="微软雅黑" w:cs="宋体" w:hint="eastAsia"/>
          <w:b/>
          <w:bCs/>
          <w:color w:val="333333"/>
          <w:kern w:val="36"/>
          <w:sz w:val="50"/>
          <w:szCs w:val="50"/>
        </w:rPr>
        <w:t>财政部 税务总局关于明确先进制造业增值税期末留抵退税政策的公告</w:t>
      </w:r>
    </w:p>
    <w:p w:rsidR="00DE57CB" w:rsidRPr="00DE57CB" w:rsidRDefault="00DE57CB" w:rsidP="00DE57CB">
      <w:pPr>
        <w:widowControl/>
        <w:shd w:val="clear" w:color="auto" w:fill="FFFFFF"/>
        <w:jc w:val="center"/>
        <w:rPr>
          <w:rFonts w:ascii="微软雅黑" w:eastAsia="微软雅黑" w:hAnsi="微软雅黑" w:cs="宋体" w:hint="eastAsia"/>
          <w:color w:val="333333"/>
          <w:kern w:val="0"/>
          <w:sz w:val="24"/>
          <w:szCs w:val="24"/>
        </w:rPr>
      </w:pPr>
      <w:r w:rsidRPr="00DE57CB">
        <w:rPr>
          <w:rFonts w:ascii="微软雅黑" w:eastAsia="微软雅黑" w:hAnsi="微软雅黑" w:cs="宋体" w:hint="eastAsia"/>
          <w:color w:val="FF0000"/>
          <w:kern w:val="0"/>
          <w:sz w:val="24"/>
          <w:szCs w:val="24"/>
        </w:rPr>
        <w:t>财政部 税务总局公告2021年第15号</w:t>
      </w:r>
    </w:p>
    <w:p w:rsidR="00DE57CB" w:rsidRPr="00DE57CB" w:rsidRDefault="00DE57CB" w:rsidP="00DE57CB">
      <w:pPr>
        <w:widowControl/>
        <w:shd w:val="clear" w:color="auto" w:fill="FFFFFF"/>
        <w:jc w:val="right"/>
        <w:rPr>
          <w:rFonts w:ascii="微软雅黑" w:eastAsia="微软雅黑" w:hAnsi="微软雅黑" w:cs="宋体" w:hint="eastAsia"/>
          <w:color w:val="333333"/>
          <w:kern w:val="0"/>
          <w:sz w:val="24"/>
          <w:szCs w:val="24"/>
        </w:rPr>
      </w:pPr>
      <w:r w:rsidRPr="00DE57CB">
        <w:rPr>
          <w:rFonts w:ascii="微软雅黑" w:eastAsia="微软雅黑" w:hAnsi="微软雅黑" w:cs="宋体" w:hint="eastAsia"/>
          <w:color w:val="FF0000"/>
          <w:kern w:val="0"/>
          <w:sz w:val="24"/>
          <w:szCs w:val="24"/>
        </w:rPr>
        <w:t>全文有效</w:t>
      </w:r>
      <w:r w:rsidRPr="00DE57CB">
        <w:rPr>
          <w:rFonts w:ascii="微软雅黑" w:eastAsia="微软雅黑" w:hAnsi="微软雅黑" w:cs="宋体" w:hint="eastAsia"/>
          <w:color w:val="333333"/>
          <w:kern w:val="0"/>
          <w:sz w:val="24"/>
          <w:szCs w:val="24"/>
        </w:rPr>
        <w:t>   成文日期：2021-04-23</w:t>
      </w:r>
    </w:p>
    <w:p w:rsidR="00DE57CB" w:rsidRPr="00DE57CB" w:rsidRDefault="00DE57CB" w:rsidP="00DE57CB">
      <w:pPr>
        <w:widowControl/>
        <w:shd w:val="clear" w:color="auto" w:fill="FFFFFF"/>
        <w:spacing w:line="720" w:lineRule="atLeast"/>
        <w:ind w:firstLine="480"/>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t>为进一步促进先进制造业高质量发展，现将先进制造业增值税期末留抵退税政策公告如下：</w:t>
      </w:r>
    </w:p>
    <w:p w:rsidR="00DE57CB" w:rsidRPr="00DE57CB" w:rsidRDefault="00DE57CB" w:rsidP="00DE57CB">
      <w:pPr>
        <w:widowControl/>
        <w:shd w:val="clear" w:color="auto" w:fill="FFFFFF"/>
        <w:spacing w:line="720" w:lineRule="atLeast"/>
        <w:ind w:firstLine="480"/>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t>一、自2021年4月1日起，同时符合以下条件的先进制造业纳税人，可以自2021年5月及以后纳税申报期向主管税务机关申请退还增量留抵税额：</w:t>
      </w:r>
    </w:p>
    <w:p w:rsidR="00DE57CB" w:rsidRPr="00DE57CB" w:rsidRDefault="00DE57CB" w:rsidP="00DE57CB">
      <w:pPr>
        <w:widowControl/>
        <w:shd w:val="clear" w:color="auto" w:fill="FFFFFF"/>
        <w:spacing w:line="720" w:lineRule="atLeast"/>
        <w:ind w:firstLine="480"/>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t>1.增量留抵税额大于零；</w:t>
      </w:r>
    </w:p>
    <w:p w:rsidR="00DE57CB" w:rsidRPr="00DE57CB" w:rsidRDefault="00DE57CB" w:rsidP="00DE57CB">
      <w:pPr>
        <w:widowControl/>
        <w:shd w:val="clear" w:color="auto" w:fill="FFFFFF"/>
        <w:spacing w:line="720" w:lineRule="atLeast"/>
        <w:ind w:firstLine="480"/>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t>2.纳税信用等级为A级或者B级；</w:t>
      </w:r>
    </w:p>
    <w:p w:rsidR="00DE57CB" w:rsidRPr="00DE57CB" w:rsidRDefault="00DE57CB" w:rsidP="00DE57CB">
      <w:pPr>
        <w:widowControl/>
        <w:shd w:val="clear" w:color="auto" w:fill="FFFFFF"/>
        <w:spacing w:line="720" w:lineRule="atLeast"/>
        <w:ind w:firstLine="480"/>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t>3.申请退税前36个月未发生骗取留抵退税、出口退税或虚开增值税专用发票情形；</w:t>
      </w:r>
    </w:p>
    <w:p w:rsidR="00DE57CB" w:rsidRPr="00DE57CB" w:rsidRDefault="00DE57CB" w:rsidP="00DE57CB">
      <w:pPr>
        <w:widowControl/>
        <w:shd w:val="clear" w:color="auto" w:fill="FFFFFF"/>
        <w:spacing w:line="720" w:lineRule="atLeast"/>
        <w:ind w:firstLine="480"/>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t>4.申请退税前36个月未因偷税被税务机关处罚两次及以上；</w:t>
      </w:r>
    </w:p>
    <w:p w:rsidR="00DE57CB" w:rsidRPr="00DE57CB" w:rsidRDefault="00DE57CB" w:rsidP="00DE57CB">
      <w:pPr>
        <w:widowControl/>
        <w:shd w:val="clear" w:color="auto" w:fill="FFFFFF"/>
        <w:spacing w:line="720" w:lineRule="atLeast"/>
        <w:ind w:firstLine="480"/>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t>5.自2019年4月1日起未享受即征即退、先征后返（退）政策。</w:t>
      </w:r>
    </w:p>
    <w:p w:rsidR="00DE57CB" w:rsidRPr="00DE57CB" w:rsidRDefault="00DE57CB" w:rsidP="00DE57CB">
      <w:pPr>
        <w:widowControl/>
        <w:shd w:val="clear" w:color="auto" w:fill="FFFFFF"/>
        <w:spacing w:line="720" w:lineRule="atLeast"/>
        <w:ind w:firstLine="480"/>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t>二、本公告所称先进制造业纳税人，是指按照《国民经济行业分类》，生产并销售“非金属矿物制品”、“通用设备”、“专</w:t>
      </w:r>
      <w:r w:rsidRPr="00DE57CB">
        <w:rPr>
          <w:rFonts w:ascii="微软雅黑" w:eastAsia="微软雅黑" w:hAnsi="微软雅黑" w:cs="宋体" w:hint="eastAsia"/>
          <w:color w:val="333333"/>
          <w:kern w:val="0"/>
          <w:sz w:val="30"/>
          <w:szCs w:val="30"/>
        </w:rPr>
        <w:lastRenderedPageBreak/>
        <w:t>用设备”、“计算机、通信和其他电子设备”、“医药”、“化学纤维”、“铁路、船舶、航空航天和其他运输设备”、“电气机械和器材”、“仪器仪表”销售额占全部销售额的比重超过50%的纳税人。</w:t>
      </w:r>
    </w:p>
    <w:p w:rsidR="00DE57CB" w:rsidRPr="00DE57CB" w:rsidRDefault="00DE57CB" w:rsidP="00DE57CB">
      <w:pPr>
        <w:widowControl/>
        <w:shd w:val="clear" w:color="auto" w:fill="FFFFFF"/>
        <w:spacing w:line="720" w:lineRule="atLeast"/>
        <w:ind w:firstLine="480"/>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t>上述销售额比重根据纳税人申请退税前连续12个月的销售额计算确定；申请退税前经营期不满12个月但满3个月的，按照实际经营期的销售额计算确定。</w:t>
      </w:r>
    </w:p>
    <w:p w:rsidR="00DE57CB" w:rsidRPr="00DE57CB" w:rsidRDefault="00DE57CB" w:rsidP="00DE57CB">
      <w:pPr>
        <w:widowControl/>
        <w:shd w:val="clear" w:color="auto" w:fill="FFFFFF"/>
        <w:spacing w:line="720" w:lineRule="atLeast"/>
        <w:ind w:firstLine="480"/>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t>三、本公告所称增量留抵税额，是指与2019年3月31日相比新增加的期末留抵税额。</w:t>
      </w:r>
    </w:p>
    <w:p w:rsidR="00DE57CB" w:rsidRPr="00DE57CB" w:rsidRDefault="00DE57CB" w:rsidP="00DE57CB">
      <w:pPr>
        <w:widowControl/>
        <w:shd w:val="clear" w:color="auto" w:fill="FFFFFF"/>
        <w:spacing w:line="720" w:lineRule="atLeast"/>
        <w:ind w:firstLine="480"/>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t>四、先进制造业纳税人当期允许退还的增量留抵税额，按照以下公式计算：</w:t>
      </w:r>
    </w:p>
    <w:p w:rsidR="00DE57CB" w:rsidRPr="00DE57CB" w:rsidRDefault="00DE57CB" w:rsidP="00DE57CB">
      <w:pPr>
        <w:widowControl/>
        <w:shd w:val="clear" w:color="auto" w:fill="FFFFFF"/>
        <w:spacing w:line="720" w:lineRule="atLeast"/>
        <w:ind w:firstLine="480"/>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t>允许退还的增量留抵税额=增量留抵税额×进项构成比例</w:t>
      </w:r>
    </w:p>
    <w:p w:rsidR="00DE57CB" w:rsidRPr="00DE57CB" w:rsidRDefault="00DE57CB" w:rsidP="00DE57CB">
      <w:pPr>
        <w:widowControl/>
        <w:shd w:val="clear" w:color="auto" w:fill="FFFFFF"/>
        <w:spacing w:line="720" w:lineRule="atLeast"/>
        <w:ind w:firstLine="480"/>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t>进项构成比例，为2019年4月至申请退税前一税款所属期内已抵扣的增值税专用发票（含税控机动车销售统一发票）、海关进口增值税专用缴款书、解缴税款完税凭证注明的增值税额占同期全部已抵扣进项税额的比重。</w:t>
      </w:r>
    </w:p>
    <w:p w:rsidR="00DE57CB" w:rsidRPr="00DE57CB" w:rsidRDefault="00DE57CB" w:rsidP="00DE57CB">
      <w:pPr>
        <w:widowControl/>
        <w:shd w:val="clear" w:color="auto" w:fill="FFFFFF"/>
        <w:spacing w:line="720" w:lineRule="atLeast"/>
        <w:ind w:firstLine="480"/>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t>五、先进制造业纳税人按照本公告规定取得增值税留抵退税款的，不得再申请享受增值税即征即退、先征后返（退）政策。</w:t>
      </w:r>
    </w:p>
    <w:p w:rsidR="00DE57CB" w:rsidRPr="00DE57CB" w:rsidRDefault="00DE57CB" w:rsidP="00DE57CB">
      <w:pPr>
        <w:widowControl/>
        <w:shd w:val="clear" w:color="auto" w:fill="FFFFFF"/>
        <w:spacing w:line="720" w:lineRule="atLeast"/>
        <w:ind w:firstLine="480"/>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lastRenderedPageBreak/>
        <w:t>六、先进制造业纳税人申请退还增量留抵税额的其他规定，按照《财政部</w:t>
      </w:r>
      <w:r w:rsidRPr="00DE57CB">
        <w:rPr>
          <w:rFonts w:ascii="MS Gothic" w:eastAsia="MS Gothic" w:hAnsi="MS Gothic" w:cs="MS Gothic" w:hint="eastAsia"/>
          <w:color w:val="333333"/>
          <w:kern w:val="0"/>
          <w:sz w:val="30"/>
          <w:szCs w:val="30"/>
        </w:rPr>
        <w:t> </w:t>
      </w:r>
      <w:r w:rsidRPr="00DE57CB">
        <w:rPr>
          <w:rFonts w:ascii="微软雅黑" w:eastAsia="微软雅黑" w:hAnsi="微软雅黑" w:cs="宋体" w:hint="eastAsia"/>
          <w:color w:val="333333"/>
          <w:kern w:val="0"/>
          <w:sz w:val="30"/>
          <w:szCs w:val="30"/>
        </w:rPr>
        <w:t>税务总局</w:t>
      </w:r>
      <w:r w:rsidRPr="00DE57CB">
        <w:rPr>
          <w:rFonts w:ascii="MS Gothic" w:eastAsia="MS Gothic" w:hAnsi="MS Gothic" w:cs="MS Gothic" w:hint="eastAsia"/>
          <w:color w:val="333333"/>
          <w:kern w:val="0"/>
          <w:sz w:val="30"/>
          <w:szCs w:val="30"/>
        </w:rPr>
        <w:t> </w:t>
      </w:r>
      <w:r w:rsidRPr="00DE57CB">
        <w:rPr>
          <w:rFonts w:ascii="微软雅黑" w:eastAsia="微软雅黑" w:hAnsi="微软雅黑" w:cs="宋体" w:hint="eastAsia"/>
          <w:color w:val="333333"/>
          <w:kern w:val="0"/>
          <w:sz w:val="30"/>
          <w:szCs w:val="30"/>
        </w:rPr>
        <w:t>海关总署关于深化增值税改革有关政策的公告》（财政部</w:t>
      </w:r>
      <w:r w:rsidRPr="00DE57CB">
        <w:rPr>
          <w:rFonts w:ascii="MS Gothic" w:eastAsia="MS Gothic" w:hAnsi="MS Gothic" w:cs="MS Gothic" w:hint="eastAsia"/>
          <w:color w:val="333333"/>
          <w:kern w:val="0"/>
          <w:sz w:val="30"/>
          <w:szCs w:val="30"/>
        </w:rPr>
        <w:t> </w:t>
      </w:r>
      <w:r w:rsidRPr="00DE57CB">
        <w:rPr>
          <w:rFonts w:ascii="微软雅黑" w:eastAsia="微软雅黑" w:hAnsi="微软雅黑" w:cs="宋体" w:hint="eastAsia"/>
          <w:color w:val="333333"/>
          <w:kern w:val="0"/>
          <w:sz w:val="30"/>
          <w:szCs w:val="30"/>
        </w:rPr>
        <w:t>税务总局</w:t>
      </w:r>
      <w:r w:rsidRPr="00DE57CB">
        <w:rPr>
          <w:rFonts w:ascii="MS Gothic" w:eastAsia="MS Gothic" w:hAnsi="MS Gothic" w:cs="MS Gothic" w:hint="eastAsia"/>
          <w:color w:val="333333"/>
          <w:kern w:val="0"/>
          <w:sz w:val="30"/>
          <w:szCs w:val="30"/>
        </w:rPr>
        <w:t> </w:t>
      </w:r>
      <w:r w:rsidRPr="00DE57CB">
        <w:rPr>
          <w:rFonts w:ascii="微软雅黑" w:eastAsia="微软雅黑" w:hAnsi="微软雅黑" w:cs="宋体" w:hint="eastAsia"/>
          <w:color w:val="333333"/>
          <w:kern w:val="0"/>
          <w:sz w:val="30"/>
          <w:szCs w:val="30"/>
        </w:rPr>
        <w:t>海关总署公告2019年第39号）和《财政部</w:t>
      </w:r>
      <w:r w:rsidRPr="00DE57CB">
        <w:rPr>
          <w:rFonts w:ascii="MS Gothic" w:eastAsia="MS Gothic" w:hAnsi="MS Gothic" w:cs="MS Gothic" w:hint="eastAsia"/>
          <w:color w:val="333333"/>
          <w:kern w:val="0"/>
          <w:sz w:val="30"/>
          <w:szCs w:val="30"/>
        </w:rPr>
        <w:t> </w:t>
      </w:r>
      <w:r w:rsidRPr="00DE57CB">
        <w:rPr>
          <w:rFonts w:ascii="微软雅黑" w:eastAsia="微软雅黑" w:hAnsi="微软雅黑" w:cs="宋体" w:hint="eastAsia"/>
          <w:color w:val="333333"/>
          <w:kern w:val="0"/>
          <w:sz w:val="30"/>
          <w:szCs w:val="30"/>
        </w:rPr>
        <w:t>税务总局关于明确部分先进制造业增值税期末留抵退税政策的公告》（财政部</w:t>
      </w:r>
      <w:r w:rsidRPr="00DE57CB">
        <w:rPr>
          <w:rFonts w:ascii="MS Gothic" w:eastAsia="MS Gothic" w:hAnsi="MS Gothic" w:cs="MS Gothic" w:hint="eastAsia"/>
          <w:color w:val="333333"/>
          <w:kern w:val="0"/>
          <w:sz w:val="30"/>
          <w:szCs w:val="30"/>
        </w:rPr>
        <w:t> </w:t>
      </w:r>
      <w:r w:rsidRPr="00DE57CB">
        <w:rPr>
          <w:rFonts w:ascii="微软雅黑" w:eastAsia="微软雅黑" w:hAnsi="微软雅黑" w:cs="宋体" w:hint="eastAsia"/>
          <w:color w:val="333333"/>
          <w:kern w:val="0"/>
          <w:sz w:val="30"/>
          <w:szCs w:val="30"/>
        </w:rPr>
        <w:t>税务总局公告2019年第84号）执行。</w:t>
      </w:r>
    </w:p>
    <w:p w:rsidR="00DE57CB" w:rsidRPr="00DE57CB" w:rsidRDefault="00DE57CB" w:rsidP="00DE57CB">
      <w:pPr>
        <w:widowControl/>
        <w:shd w:val="clear" w:color="auto" w:fill="FFFFFF"/>
        <w:spacing w:line="720" w:lineRule="atLeast"/>
        <w:ind w:firstLine="480"/>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t>特此公告。</w:t>
      </w:r>
    </w:p>
    <w:p w:rsidR="00DE57CB" w:rsidRPr="00DE57CB" w:rsidRDefault="00DE57CB" w:rsidP="00DE57CB">
      <w:pPr>
        <w:widowControl/>
        <w:shd w:val="clear" w:color="auto" w:fill="FFFFFF"/>
        <w:spacing w:line="720" w:lineRule="atLeast"/>
        <w:jc w:val="right"/>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t>财政部</w:t>
      </w:r>
      <w:r w:rsidRPr="00DE57CB">
        <w:rPr>
          <w:rFonts w:ascii="MS Gothic" w:eastAsia="MS Gothic" w:hAnsi="MS Gothic" w:cs="MS Gothic" w:hint="eastAsia"/>
          <w:color w:val="333333"/>
          <w:kern w:val="0"/>
          <w:sz w:val="30"/>
          <w:szCs w:val="30"/>
        </w:rPr>
        <w:t> </w:t>
      </w:r>
      <w:r w:rsidRPr="00DE57CB">
        <w:rPr>
          <w:rFonts w:ascii="微软雅黑" w:eastAsia="微软雅黑" w:hAnsi="微软雅黑" w:cs="宋体" w:hint="eastAsia"/>
          <w:color w:val="333333"/>
          <w:kern w:val="0"/>
          <w:sz w:val="30"/>
          <w:szCs w:val="30"/>
        </w:rPr>
        <w:t>税务总局</w:t>
      </w:r>
    </w:p>
    <w:p w:rsidR="00DE57CB" w:rsidRPr="00DE57CB" w:rsidRDefault="00DE57CB" w:rsidP="00DE57CB">
      <w:pPr>
        <w:widowControl/>
        <w:shd w:val="clear" w:color="auto" w:fill="FFFFFF"/>
        <w:spacing w:line="720" w:lineRule="atLeast"/>
        <w:jc w:val="right"/>
        <w:rPr>
          <w:rFonts w:ascii="微软雅黑" w:eastAsia="微软雅黑" w:hAnsi="微软雅黑" w:cs="宋体" w:hint="eastAsia"/>
          <w:color w:val="333333"/>
          <w:kern w:val="0"/>
          <w:sz w:val="30"/>
          <w:szCs w:val="30"/>
        </w:rPr>
      </w:pPr>
      <w:r w:rsidRPr="00DE57CB">
        <w:rPr>
          <w:rFonts w:ascii="微软雅黑" w:eastAsia="微软雅黑" w:hAnsi="微软雅黑" w:cs="宋体" w:hint="eastAsia"/>
          <w:color w:val="333333"/>
          <w:kern w:val="0"/>
          <w:sz w:val="30"/>
          <w:szCs w:val="30"/>
        </w:rPr>
        <w:t>2021年4月23日</w:t>
      </w:r>
    </w:p>
    <w:p w:rsidR="00E54804" w:rsidRDefault="00E54804"/>
    <w:sectPr w:rsidR="00E54804" w:rsidSect="00E548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57CB"/>
    <w:rsid w:val="00017944"/>
    <w:rsid w:val="000279FD"/>
    <w:rsid w:val="000309EF"/>
    <w:rsid w:val="0003744B"/>
    <w:rsid w:val="00042254"/>
    <w:rsid w:val="00052263"/>
    <w:rsid w:val="00057A40"/>
    <w:rsid w:val="000661E8"/>
    <w:rsid w:val="00067C21"/>
    <w:rsid w:val="0007192B"/>
    <w:rsid w:val="000918FC"/>
    <w:rsid w:val="000B1B15"/>
    <w:rsid w:val="000C344B"/>
    <w:rsid w:val="000D3CB1"/>
    <w:rsid w:val="000D50AA"/>
    <w:rsid w:val="000D725F"/>
    <w:rsid w:val="000E7E1C"/>
    <w:rsid w:val="001001A6"/>
    <w:rsid w:val="00106611"/>
    <w:rsid w:val="001147B6"/>
    <w:rsid w:val="00142E2B"/>
    <w:rsid w:val="0014448D"/>
    <w:rsid w:val="001461CD"/>
    <w:rsid w:val="001538A4"/>
    <w:rsid w:val="00154812"/>
    <w:rsid w:val="0016087A"/>
    <w:rsid w:val="001708CB"/>
    <w:rsid w:val="0017566D"/>
    <w:rsid w:val="0019359C"/>
    <w:rsid w:val="001A1B85"/>
    <w:rsid w:val="001B4B7C"/>
    <w:rsid w:val="001B4FC5"/>
    <w:rsid w:val="001B513E"/>
    <w:rsid w:val="001B6237"/>
    <w:rsid w:val="001C08FF"/>
    <w:rsid w:val="001C428F"/>
    <w:rsid w:val="001E2386"/>
    <w:rsid w:val="001E70B0"/>
    <w:rsid w:val="00210442"/>
    <w:rsid w:val="002110B7"/>
    <w:rsid w:val="0021285D"/>
    <w:rsid w:val="00216099"/>
    <w:rsid w:val="00224D7E"/>
    <w:rsid w:val="0023370F"/>
    <w:rsid w:val="00236263"/>
    <w:rsid w:val="00256E52"/>
    <w:rsid w:val="00280BBD"/>
    <w:rsid w:val="002812B7"/>
    <w:rsid w:val="00285F59"/>
    <w:rsid w:val="002938E3"/>
    <w:rsid w:val="00295143"/>
    <w:rsid w:val="00296D05"/>
    <w:rsid w:val="00297A1E"/>
    <w:rsid w:val="002A4691"/>
    <w:rsid w:val="002A592D"/>
    <w:rsid w:val="002A5C21"/>
    <w:rsid w:val="002B0778"/>
    <w:rsid w:val="002B72B1"/>
    <w:rsid w:val="002C07AE"/>
    <w:rsid w:val="002E0C26"/>
    <w:rsid w:val="002F51DD"/>
    <w:rsid w:val="00320799"/>
    <w:rsid w:val="00337C58"/>
    <w:rsid w:val="00340038"/>
    <w:rsid w:val="003400DD"/>
    <w:rsid w:val="0034285F"/>
    <w:rsid w:val="0034311F"/>
    <w:rsid w:val="00344F76"/>
    <w:rsid w:val="00351A56"/>
    <w:rsid w:val="00360AD0"/>
    <w:rsid w:val="00362EBA"/>
    <w:rsid w:val="003821A8"/>
    <w:rsid w:val="003842BD"/>
    <w:rsid w:val="00385190"/>
    <w:rsid w:val="003942E6"/>
    <w:rsid w:val="003A6382"/>
    <w:rsid w:val="003A69B5"/>
    <w:rsid w:val="003B1EC7"/>
    <w:rsid w:val="003D428A"/>
    <w:rsid w:val="003D7F9C"/>
    <w:rsid w:val="00420935"/>
    <w:rsid w:val="0042252C"/>
    <w:rsid w:val="00433BBC"/>
    <w:rsid w:val="00437EF9"/>
    <w:rsid w:val="00444FA5"/>
    <w:rsid w:val="00447515"/>
    <w:rsid w:val="00461EE6"/>
    <w:rsid w:val="0048284F"/>
    <w:rsid w:val="0049651D"/>
    <w:rsid w:val="004B1237"/>
    <w:rsid w:val="004B38C5"/>
    <w:rsid w:val="004C0C3D"/>
    <w:rsid w:val="004C5C1E"/>
    <w:rsid w:val="004C6108"/>
    <w:rsid w:val="004C71BF"/>
    <w:rsid w:val="004D0D24"/>
    <w:rsid w:val="004D6F66"/>
    <w:rsid w:val="004D76B8"/>
    <w:rsid w:val="004E2329"/>
    <w:rsid w:val="00511E46"/>
    <w:rsid w:val="00514833"/>
    <w:rsid w:val="005176AC"/>
    <w:rsid w:val="00526AEF"/>
    <w:rsid w:val="00573273"/>
    <w:rsid w:val="00577782"/>
    <w:rsid w:val="0058565D"/>
    <w:rsid w:val="00591EA4"/>
    <w:rsid w:val="005956D7"/>
    <w:rsid w:val="005A0F9E"/>
    <w:rsid w:val="005A7378"/>
    <w:rsid w:val="005B28A2"/>
    <w:rsid w:val="005D0AAE"/>
    <w:rsid w:val="005D15B1"/>
    <w:rsid w:val="005D1DCE"/>
    <w:rsid w:val="005D74B6"/>
    <w:rsid w:val="005E2911"/>
    <w:rsid w:val="005E4B69"/>
    <w:rsid w:val="005F2720"/>
    <w:rsid w:val="005F4868"/>
    <w:rsid w:val="00601F7B"/>
    <w:rsid w:val="00613355"/>
    <w:rsid w:val="0062019D"/>
    <w:rsid w:val="00622C9C"/>
    <w:rsid w:val="00647B25"/>
    <w:rsid w:val="00670FFD"/>
    <w:rsid w:val="00687F43"/>
    <w:rsid w:val="006941AF"/>
    <w:rsid w:val="00697472"/>
    <w:rsid w:val="006A1FB0"/>
    <w:rsid w:val="006B2875"/>
    <w:rsid w:val="006C699E"/>
    <w:rsid w:val="006D61E1"/>
    <w:rsid w:val="006E394C"/>
    <w:rsid w:val="006F7BB1"/>
    <w:rsid w:val="00706DAE"/>
    <w:rsid w:val="00715243"/>
    <w:rsid w:val="007157A2"/>
    <w:rsid w:val="007178B0"/>
    <w:rsid w:val="00723931"/>
    <w:rsid w:val="0072473F"/>
    <w:rsid w:val="007341B3"/>
    <w:rsid w:val="00735292"/>
    <w:rsid w:val="00735E1B"/>
    <w:rsid w:val="00740B46"/>
    <w:rsid w:val="007709D9"/>
    <w:rsid w:val="00791274"/>
    <w:rsid w:val="007929C3"/>
    <w:rsid w:val="0079699F"/>
    <w:rsid w:val="007D0DF6"/>
    <w:rsid w:val="007D181C"/>
    <w:rsid w:val="007E0B95"/>
    <w:rsid w:val="007F28DA"/>
    <w:rsid w:val="00810B49"/>
    <w:rsid w:val="008132A0"/>
    <w:rsid w:val="00814265"/>
    <w:rsid w:val="00827016"/>
    <w:rsid w:val="00841F22"/>
    <w:rsid w:val="00846F15"/>
    <w:rsid w:val="00852F6F"/>
    <w:rsid w:val="00865829"/>
    <w:rsid w:val="00875264"/>
    <w:rsid w:val="00886018"/>
    <w:rsid w:val="0089258B"/>
    <w:rsid w:val="00893761"/>
    <w:rsid w:val="00897BE1"/>
    <w:rsid w:val="008A3954"/>
    <w:rsid w:val="008A4BD7"/>
    <w:rsid w:val="008B0381"/>
    <w:rsid w:val="008D2C83"/>
    <w:rsid w:val="008E6E61"/>
    <w:rsid w:val="008F449C"/>
    <w:rsid w:val="00903199"/>
    <w:rsid w:val="009064D5"/>
    <w:rsid w:val="00910383"/>
    <w:rsid w:val="00912BC7"/>
    <w:rsid w:val="0091438A"/>
    <w:rsid w:val="00926812"/>
    <w:rsid w:val="00932CBC"/>
    <w:rsid w:val="00935446"/>
    <w:rsid w:val="00945309"/>
    <w:rsid w:val="00956720"/>
    <w:rsid w:val="0096177F"/>
    <w:rsid w:val="0097557D"/>
    <w:rsid w:val="009816F7"/>
    <w:rsid w:val="00983D7A"/>
    <w:rsid w:val="00984D0D"/>
    <w:rsid w:val="00985146"/>
    <w:rsid w:val="00995BBD"/>
    <w:rsid w:val="009C1121"/>
    <w:rsid w:val="009C3BED"/>
    <w:rsid w:val="009C74E7"/>
    <w:rsid w:val="009F0B61"/>
    <w:rsid w:val="009F4372"/>
    <w:rsid w:val="009F5D27"/>
    <w:rsid w:val="00A14AE5"/>
    <w:rsid w:val="00A16E64"/>
    <w:rsid w:val="00A24C84"/>
    <w:rsid w:val="00A25A59"/>
    <w:rsid w:val="00A30BBA"/>
    <w:rsid w:val="00A317F7"/>
    <w:rsid w:val="00A32391"/>
    <w:rsid w:val="00A42D5F"/>
    <w:rsid w:val="00A53A42"/>
    <w:rsid w:val="00A57ED9"/>
    <w:rsid w:val="00A83EC8"/>
    <w:rsid w:val="00A84E1C"/>
    <w:rsid w:val="00AB0AE0"/>
    <w:rsid w:val="00AB3A5C"/>
    <w:rsid w:val="00AB3CFB"/>
    <w:rsid w:val="00AC3034"/>
    <w:rsid w:val="00AC5C9F"/>
    <w:rsid w:val="00AC5FBF"/>
    <w:rsid w:val="00AD2F19"/>
    <w:rsid w:val="00AD7643"/>
    <w:rsid w:val="00AE347B"/>
    <w:rsid w:val="00B019ED"/>
    <w:rsid w:val="00B0365B"/>
    <w:rsid w:val="00B10C9B"/>
    <w:rsid w:val="00B22CB1"/>
    <w:rsid w:val="00B300E7"/>
    <w:rsid w:val="00B31A27"/>
    <w:rsid w:val="00B35662"/>
    <w:rsid w:val="00B42595"/>
    <w:rsid w:val="00B47AF0"/>
    <w:rsid w:val="00B52780"/>
    <w:rsid w:val="00B61179"/>
    <w:rsid w:val="00B6238A"/>
    <w:rsid w:val="00B67F06"/>
    <w:rsid w:val="00B715BA"/>
    <w:rsid w:val="00B81CB1"/>
    <w:rsid w:val="00B820CD"/>
    <w:rsid w:val="00B858D6"/>
    <w:rsid w:val="00B9356B"/>
    <w:rsid w:val="00BA6D23"/>
    <w:rsid w:val="00BC438A"/>
    <w:rsid w:val="00BC6D21"/>
    <w:rsid w:val="00BC75F7"/>
    <w:rsid w:val="00BD1CA8"/>
    <w:rsid w:val="00BD2D24"/>
    <w:rsid w:val="00BF4C37"/>
    <w:rsid w:val="00BF6041"/>
    <w:rsid w:val="00BF6413"/>
    <w:rsid w:val="00C0241A"/>
    <w:rsid w:val="00C07695"/>
    <w:rsid w:val="00C07E9D"/>
    <w:rsid w:val="00C1310C"/>
    <w:rsid w:val="00C21770"/>
    <w:rsid w:val="00C22CEA"/>
    <w:rsid w:val="00C36F38"/>
    <w:rsid w:val="00C43FB4"/>
    <w:rsid w:val="00C53475"/>
    <w:rsid w:val="00C57B28"/>
    <w:rsid w:val="00C61BA6"/>
    <w:rsid w:val="00C62953"/>
    <w:rsid w:val="00C64C94"/>
    <w:rsid w:val="00C75FEC"/>
    <w:rsid w:val="00C9133C"/>
    <w:rsid w:val="00CA4166"/>
    <w:rsid w:val="00CB6249"/>
    <w:rsid w:val="00CC0253"/>
    <w:rsid w:val="00CC258F"/>
    <w:rsid w:val="00CC28EC"/>
    <w:rsid w:val="00CC40D5"/>
    <w:rsid w:val="00CC52F4"/>
    <w:rsid w:val="00CD5E34"/>
    <w:rsid w:val="00CD697C"/>
    <w:rsid w:val="00CE037B"/>
    <w:rsid w:val="00D07908"/>
    <w:rsid w:val="00D1216A"/>
    <w:rsid w:val="00D23A5B"/>
    <w:rsid w:val="00D34564"/>
    <w:rsid w:val="00D41E47"/>
    <w:rsid w:val="00D65341"/>
    <w:rsid w:val="00D718D6"/>
    <w:rsid w:val="00D75813"/>
    <w:rsid w:val="00D7757F"/>
    <w:rsid w:val="00D832A5"/>
    <w:rsid w:val="00D83BF2"/>
    <w:rsid w:val="00D85CA7"/>
    <w:rsid w:val="00D86BF9"/>
    <w:rsid w:val="00D93FBC"/>
    <w:rsid w:val="00DA3EBF"/>
    <w:rsid w:val="00DB262C"/>
    <w:rsid w:val="00DC144F"/>
    <w:rsid w:val="00DD4BDC"/>
    <w:rsid w:val="00DD6DB9"/>
    <w:rsid w:val="00DE346E"/>
    <w:rsid w:val="00DE393F"/>
    <w:rsid w:val="00DE57CB"/>
    <w:rsid w:val="00DE63DA"/>
    <w:rsid w:val="00E00DB7"/>
    <w:rsid w:val="00E01635"/>
    <w:rsid w:val="00E0715D"/>
    <w:rsid w:val="00E23537"/>
    <w:rsid w:val="00E50457"/>
    <w:rsid w:val="00E536B5"/>
    <w:rsid w:val="00E54804"/>
    <w:rsid w:val="00E644B7"/>
    <w:rsid w:val="00E80C91"/>
    <w:rsid w:val="00E813F1"/>
    <w:rsid w:val="00E829C6"/>
    <w:rsid w:val="00E863B9"/>
    <w:rsid w:val="00E86628"/>
    <w:rsid w:val="00E8732C"/>
    <w:rsid w:val="00E947E4"/>
    <w:rsid w:val="00EA13FD"/>
    <w:rsid w:val="00EA2703"/>
    <w:rsid w:val="00EB45BA"/>
    <w:rsid w:val="00EC5272"/>
    <w:rsid w:val="00EE34BD"/>
    <w:rsid w:val="00EF3ACD"/>
    <w:rsid w:val="00EF4459"/>
    <w:rsid w:val="00EF669E"/>
    <w:rsid w:val="00EF7992"/>
    <w:rsid w:val="00F026B3"/>
    <w:rsid w:val="00F03C1D"/>
    <w:rsid w:val="00F11BCB"/>
    <w:rsid w:val="00F15B0D"/>
    <w:rsid w:val="00F15DC4"/>
    <w:rsid w:val="00F211E7"/>
    <w:rsid w:val="00F32051"/>
    <w:rsid w:val="00F40536"/>
    <w:rsid w:val="00F46430"/>
    <w:rsid w:val="00F50A47"/>
    <w:rsid w:val="00F6623B"/>
    <w:rsid w:val="00F67692"/>
    <w:rsid w:val="00F75E08"/>
    <w:rsid w:val="00F76E8D"/>
    <w:rsid w:val="00F82C56"/>
    <w:rsid w:val="00F9635B"/>
    <w:rsid w:val="00FC26EC"/>
    <w:rsid w:val="00FE1E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565371">
      <w:bodyDiv w:val="1"/>
      <w:marLeft w:val="0"/>
      <w:marRight w:val="0"/>
      <w:marTop w:val="0"/>
      <w:marBottom w:val="0"/>
      <w:divBdr>
        <w:top w:val="none" w:sz="0" w:space="0" w:color="auto"/>
        <w:left w:val="none" w:sz="0" w:space="0" w:color="auto"/>
        <w:bottom w:val="none" w:sz="0" w:space="0" w:color="auto"/>
        <w:right w:val="none" w:sz="0" w:space="0" w:color="auto"/>
      </w:divBdr>
      <w:divsChild>
        <w:div w:id="1222792424">
          <w:marLeft w:val="0"/>
          <w:marRight w:val="0"/>
          <w:marTop w:val="0"/>
          <w:marBottom w:val="300"/>
          <w:divBdr>
            <w:top w:val="none" w:sz="0" w:space="17" w:color="auto"/>
            <w:left w:val="none" w:sz="0" w:space="0" w:color="auto"/>
            <w:bottom w:val="single" w:sz="6" w:space="8" w:color="D9DBDC"/>
            <w:right w:val="none" w:sz="0" w:space="0" w:color="auto"/>
          </w:divBdr>
        </w:div>
        <w:div w:id="1561475677">
          <w:marLeft w:val="0"/>
          <w:marRight w:val="0"/>
          <w:marTop w:val="0"/>
          <w:marBottom w:val="0"/>
          <w:divBdr>
            <w:top w:val="none" w:sz="0" w:space="0" w:color="auto"/>
            <w:left w:val="none" w:sz="0" w:space="0" w:color="auto"/>
            <w:bottom w:val="none" w:sz="0" w:space="0" w:color="auto"/>
            <w:right w:val="none" w:sz="0" w:space="0" w:color="auto"/>
          </w:divBdr>
        </w:div>
      </w:divsChild>
    </w:div>
    <w:div w:id="969439740">
      <w:bodyDiv w:val="1"/>
      <w:marLeft w:val="0"/>
      <w:marRight w:val="0"/>
      <w:marTop w:val="0"/>
      <w:marBottom w:val="0"/>
      <w:divBdr>
        <w:top w:val="none" w:sz="0" w:space="0" w:color="auto"/>
        <w:left w:val="none" w:sz="0" w:space="0" w:color="auto"/>
        <w:bottom w:val="none" w:sz="0" w:space="0" w:color="auto"/>
        <w:right w:val="none" w:sz="0" w:space="0" w:color="auto"/>
      </w:divBdr>
      <w:divsChild>
        <w:div w:id="1718045554">
          <w:marLeft w:val="0"/>
          <w:marRight w:val="0"/>
          <w:marTop w:val="0"/>
          <w:marBottom w:val="300"/>
          <w:divBdr>
            <w:top w:val="none" w:sz="0" w:space="17" w:color="auto"/>
            <w:left w:val="none" w:sz="0" w:space="0" w:color="auto"/>
            <w:bottom w:val="single" w:sz="6" w:space="8" w:color="D9DBDC"/>
            <w:right w:val="none" w:sz="0" w:space="0" w:color="auto"/>
          </w:divBdr>
        </w:div>
        <w:div w:id="31540407">
          <w:marLeft w:val="0"/>
          <w:marRight w:val="0"/>
          <w:marTop w:val="0"/>
          <w:marBottom w:val="0"/>
          <w:divBdr>
            <w:top w:val="none" w:sz="0" w:space="0" w:color="auto"/>
            <w:left w:val="none" w:sz="0" w:space="0" w:color="auto"/>
            <w:bottom w:val="none" w:sz="0" w:space="0" w:color="auto"/>
            <w:right w:val="none" w:sz="0" w:space="0" w:color="auto"/>
          </w:divBdr>
        </w:div>
      </w:divsChild>
    </w:div>
    <w:div w:id="1479497842">
      <w:bodyDiv w:val="1"/>
      <w:marLeft w:val="0"/>
      <w:marRight w:val="0"/>
      <w:marTop w:val="0"/>
      <w:marBottom w:val="0"/>
      <w:divBdr>
        <w:top w:val="none" w:sz="0" w:space="0" w:color="auto"/>
        <w:left w:val="none" w:sz="0" w:space="0" w:color="auto"/>
        <w:bottom w:val="none" w:sz="0" w:space="0" w:color="auto"/>
        <w:right w:val="none" w:sz="0" w:space="0" w:color="auto"/>
      </w:divBdr>
      <w:divsChild>
        <w:div w:id="253634600">
          <w:marLeft w:val="0"/>
          <w:marRight w:val="0"/>
          <w:marTop w:val="0"/>
          <w:marBottom w:val="300"/>
          <w:divBdr>
            <w:top w:val="none" w:sz="0" w:space="17" w:color="auto"/>
            <w:left w:val="none" w:sz="0" w:space="0" w:color="auto"/>
            <w:bottom w:val="single" w:sz="6" w:space="8" w:color="D9DBDC"/>
            <w:right w:val="none" w:sz="0" w:space="0" w:color="auto"/>
          </w:divBdr>
        </w:div>
        <w:div w:id="479230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2021-12-29T09:52:00Z</dcterms:created>
  <dcterms:modified xsi:type="dcterms:W3CDTF">2021-12-29T09:53:00Z</dcterms:modified>
</cp:coreProperties>
</file>