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462" w:line="219" w:lineRule="auto"/>
        <w:ind w:firstLine="179"/>
        <w:rPr>
          <w:rFonts w:ascii="宋体" w:hAnsi="宋体" w:eastAsia="宋体" w:cs="宋体"/>
          <w:sz w:val="142"/>
          <w:szCs w:val="142"/>
        </w:rPr>
      </w:pPr>
      <w:r>
        <w:rPr>
          <w:rFonts w:hint="eastAsia" w:ascii="宋体" w:hAnsi="宋体" w:eastAsia="宋体" w:cs="宋体"/>
          <w:color w:val="E5163C"/>
          <w:spacing w:val="-73"/>
          <w:w w:val="51"/>
          <w:sz w:val="142"/>
          <w:szCs w:val="142"/>
          <w:lang w:val="en-US" w:eastAsia="zh-CN"/>
          <w14:textOutline w14:w="25793" w14:cap="flat" w14:cmpd="sng">
            <w14:solidFill>
              <w14:srgbClr w14:val="E5163C"/>
            </w14:solidFill>
            <w14:prstDash w14:val="solid"/>
            <w14:miter w14:val="0"/>
          </w14:textOutline>
        </w:rPr>
        <w:t>潢</w:t>
      </w:r>
      <w:bookmarkStart w:id="0" w:name="_GoBack"/>
      <w:bookmarkEnd w:id="0"/>
      <w:r>
        <w:rPr>
          <w:rFonts w:ascii="宋体" w:hAnsi="宋体" w:eastAsia="宋体" w:cs="宋体"/>
          <w:color w:val="E5163C"/>
          <w:spacing w:val="-73"/>
          <w:w w:val="51"/>
          <w:sz w:val="142"/>
          <w:szCs w:val="142"/>
          <w14:textOutline w14:w="25793" w14:cap="flat" w14:cmpd="sng">
            <w14:solidFill>
              <w14:srgbClr w14:val="E5163C"/>
            </w14:solidFill>
            <w14:prstDash w14:val="solid"/>
            <w14:miter w14:val="0"/>
          </w14:textOutline>
        </w:rPr>
        <w:t>川县发展和</w:t>
      </w:r>
      <w:r>
        <w:rPr>
          <w:rFonts w:hint="eastAsia" w:ascii="宋体" w:hAnsi="宋体" w:eastAsia="宋体" w:cs="宋体"/>
          <w:color w:val="E5163C"/>
          <w:spacing w:val="-73"/>
          <w:w w:val="51"/>
          <w:sz w:val="142"/>
          <w:szCs w:val="142"/>
          <w:lang w:val="en-US" w:eastAsia="zh-CN"/>
          <w14:textOutline w14:w="25793" w14:cap="flat" w14:cmpd="sng">
            <w14:solidFill>
              <w14:srgbClr w14:val="E5163C"/>
            </w14:solidFill>
            <w14:prstDash w14:val="solid"/>
            <w14:miter w14:val="0"/>
          </w14:textOutline>
        </w:rPr>
        <w:t>改</w:t>
      </w:r>
      <w:r>
        <w:rPr>
          <w:rFonts w:ascii="宋体" w:hAnsi="宋体" w:eastAsia="宋体" w:cs="宋体"/>
          <w:color w:val="E5163C"/>
          <w:spacing w:val="-73"/>
          <w:w w:val="51"/>
          <w:sz w:val="142"/>
          <w:szCs w:val="142"/>
          <w14:textOutline w14:w="25793" w14:cap="flat" w14:cmpd="sng">
            <w14:solidFill>
              <w14:srgbClr w14:val="E5163C"/>
            </w14:solidFill>
            <w14:prstDash w14:val="solid"/>
            <w14:miter w14:val="0"/>
          </w14:textOutline>
        </w:rPr>
        <w:t>革委员会文件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223" w:lineRule="auto"/>
        <w:ind w:firstLine="25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潢发改字〔2021〕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180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号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80" w:lineRule="exact"/>
        <w:ind w:firstLine="69"/>
        <w:textAlignment w:val="center"/>
      </w:pPr>
      <w:r>
        <w:drawing>
          <wp:inline distT="0" distB="0" distL="0" distR="0">
            <wp:extent cx="5588000" cy="5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7" cy="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3" w:line="253" w:lineRule="auto"/>
        <w:ind w:left="2256" w:right="717" w:hanging="195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关于印发潢川县发改委信用分级分类监管</w:t>
      </w:r>
      <w:r>
        <w:rPr>
          <w:rFonts w:ascii="黑体" w:hAnsi="黑体" w:eastAsia="黑体" w:cs="黑体"/>
          <w:spacing w:val="16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9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制度(试行)</w:t>
      </w:r>
      <w:r>
        <w:rPr>
          <w:rFonts w:ascii="黑体" w:hAnsi="黑体" w:eastAsia="黑体" w:cs="黑体"/>
          <w:spacing w:val="141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9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的通知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委机关各股室、二级机构:</w:t>
      </w:r>
    </w:p>
    <w:p>
      <w:pPr>
        <w:spacing w:before="207" w:line="346" w:lineRule="auto"/>
        <w:ind w:right="299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按照国家、省、市发改委关于信用体系建设工作的安排部署、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全面落实《信阳市加快推进社会信用体系建设构建以信用为基础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的新型监管机制实施方案》精神,力促我县信用监管工作有序开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184150</wp:posOffset>
            </wp:positionV>
            <wp:extent cx="1492250" cy="1460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239" cy="146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1"/>
          <w:sz w:val="32"/>
          <w:szCs w:val="32"/>
        </w:rPr>
        <w:t>展,结合我委实际,特制定本制度,请遵照执行.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5" w:line="222" w:lineRule="auto"/>
        <w:ind w:firstLine="61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202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5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日</w:t>
      </w:r>
    </w:p>
    <w:p>
      <w:pPr>
        <w:sectPr>
          <w:pgSz w:w="11790" w:h="16650"/>
          <w:pgMar w:top="1415" w:right="1370" w:bottom="0" w:left="1550" w:header="0" w:footer="0" w:gutter="0"/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143" w:line="261" w:lineRule="auto"/>
        <w:ind w:left="3606" w:right="939" w:hanging="287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潢川县发改委信用分级分类监管制度</w:t>
      </w:r>
      <w:r>
        <w:rPr>
          <w:rFonts w:ascii="黑体" w:hAnsi="黑体" w:eastAsia="黑体" w:cs="黑体"/>
          <w:spacing w:val="7"/>
          <w:sz w:val="44"/>
          <w:szCs w:val="44"/>
        </w:rPr>
        <w:t xml:space="preserve"> </w:t>
      </w:r>
      <w:r>
        <w:rPr>
          <w:rFonts w:ascii="黑体" w:hAnsi="黑体" w:eastAsia="黑体" w:cs="黑体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345" w:lineRule="auto"/>
        <w:ind w:right="1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第一条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为推进社会信用体系建设制度化,创新监管方式,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加强事中事后监管,规范领域信用信息的管理和使用,倡导诚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实守信的社会氛围,有效惩戒失信行为,根据有关工作部署要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求,结合我委实际,制定本制度.</w:t>
      </w:r>
    </w:p>
    <w:p>
      <w:pPr>
        <w:spacing w:before="4" w:line="344" w:lineRule="auto"/>
        <w:ind w:right="18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第二条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根据我委职责,按照县信用办要求,统一进行归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集公示,依据守信联合激励、失信联合惩戒和信用红黑名单相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关制度规定,对监管企业(单位)中涉及的所有管理相对人(法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人、社会组织、自然人),实行信用分级分类监管制度.</w:t>
      </w:r>
    </w:p>
    <w:p>
      <w:pPr>
        <w:spacing w:before="1" w:line="344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第三条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信用等级评定,是指按照规定的程序和方法,对</w:t>
      </w:r>
      <w:r>
        <w:rPr>
          <w:rFonts w:ascii="仿宋" w:hAnsi="仿宋" w:eastAsia="仿宋" w:cs="仿宋"/>
          <w:sz w:val="32"/>
          <w:szCs w:val="32"/>
        </w:rPr>
        <w:t xml:space="preserve">  管理相对人的信用水平进行综合评价,并确定信用等级的活动.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信用等级评定实行动态管理,实时更新信用等级.</w:t>
      </w:r>
    </w:p>
    <w:p>
      <w:pPr>
        <w:spacing w:before="5" w:line="341" w:lineRule="auto"/>
        <w:ind w:right="18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第四条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信用等级评定根据一年内量化分级、日常监督检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查、投诉举报和公众评价,并结合上级推送的国家公共信用综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合评价结果、"红黑名单",以及县直其他部门通报的联合奖惩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信息,进行综合评定.</w:t>
      </w:r>
    </w:p>
    <w:p>
      <w:pPr>
        <w:spacing w:before="5" w:line="349" w:lineRule="auto"/>
        <w:ind w:right="21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第五条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委机关各股室上报的失信行为信息应当真实有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效,切实维护管理相对人的合法权益.失信行为信息提供股室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对其提供信息的真实性负责。</w:t>
      </w:r>
    </w:p>
    <w:p>
      <w:pPr>
        <w:spacing w:before="2" w:line="22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第六条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本办法所称失信行为,是指行政主管部门依据职</w:t>
      </w:r>
    </w:p>
    <w:p>
      <w:pPr>
        <w:sectPr>
          <w:footerReference r:id="rId5" w:type="default"/>
          <w:pgSz w:w="11660" w:h="16560"/>
          <w:pgMar w:top="1407" w:right="1456" w:bottom="1170" w:left="1559" w:header="0" w:footer="910" w:gutter="0"/>
          <w:cols w:space="720" w:num="1"/>
        </w:sectPr>
      </w:pPr>
    </w:p>
    <w:p>
      <w:pPr>
        <w:spacing w:before="68" w:line="326" w:lineRule="auto"/>
        <w:ind w:right="1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责和权限,在依法实施行政管理的过程中,发现和处理的各种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违反法律、法规、规章的行为。</w:t>
      </w:r>
    </w:p>
    <w:p>
      <w:pPr>
        <w:spacing w:line="599" w:lineRule="exact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position w:val="19"/>
          <w:sz w:val="34"/>
          <w:szCs w:val="34"/>
        </w:rPr>
        <w:t>第七条</w:t>
      </w:r>
      <w:r>
        <w:rPr>
          <w:rFonts w:ascii="仿宋" w:hAnsi="仿宋" w:eastAsia="仿宋" w:cs="仿宋"/>
          <w:spacing w:val="25"/>
          <w:position w:val="1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3"/>
          <w:position w:val="19"/>
          <w:sz w:val="34"/>
          <w:szCs w:val="34"/>
        </w:rPr>
        <w:t>根据职责权限,遵循守信激励和失信惩戒的精神,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对管理相对人的不同信用等级实施分类管理和服务,县发改委</w:t>
      </w:r>
    </w:p>
    <w:p>
      <w:pPr>
        <w:spacing w:before="78" w:line="1080" w:lineRule="exact"/>
        <w:textAlignment w:val="center"/>
      </w:pPr>
      <w:r>
        <w:pict>
          <v:group id="_x0000_s1026" o:spid="_x0000_s1026" o:spt="203" style="height:54.05pt;width:423.5pt;" coordsize="8470,1080">
            <o:lock v:ext="edit"/>
            <v:shape id="_x0000_s1027" o:spid="_x0000_s1027" o:spt="75" type="#_x0000_t75" style="position:absolute;left:50;top:0;height:1080;width:842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1180;width:85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3" w:line="600" w:lineRule="exact"/>
                      <w:ind w:firstLine="20"/>
                      <w:rPr>
                        <w:rFonts w:ascii="仿宋" w:hAnsi="仿宋" w:eastAsia="仿宋" w:cs="仿宋"/>
                        <w:sz w:val="34"/>
                        <w:szCs w:val="34"/>
                      </w:rPr>
                    </w:pPr>
                    <w:r>
                      <w:rPr>
                        <w:rFonts w:ascii="仿宋" w:hAnsi="仿宋" w:eastAsia="仿宋" w:cs="仿宋"/>
                        <w:spacing w:val="16"/>
                        <w:position w:val="18"/>
                        <w:sz w:val="34"/>
                        <w:szCs w:val="34"/>
                      </w:rPr>
                      <w:t>信用等级分为A、B、C三个等级.A级为信用优良;B级为</w:t>
                    </w:r>
                  </w:p>
                  <w:p>
                    <w:pPr>
                      <w:spacing w:before="1" w:line="221" w:lineRule="auto"/>
                      <w:ind w:firstLine="20"/>
                      <w:rPr>
                        <w:rFonts w:ascii="仿宋" w:hAnsi="仿宋" w:eastAsia="仿宋" w:cs="仿宋"/>
                        <w:sz w:val="34"/>
                        <w:szCs w:val="34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sz w:val="34"/>
                        <w:szCs w:val="34"/>
                      </w:rPr>
                      <w:t>一般失信;C级为严重失信.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31" w:line="222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第八条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2"/>
          <w:sz w:val="34"/>
          <w:szCs w:val="34"/>
        </w:rPr>
        <w:t>信用等级的认定:</w:t>
      </w:r>
    </w:p>
    <w:p>
      <w:pPr>
        <w:spacing w:before="175" w:line="328" w:lineRule="auto"/>
        <w:ind w:right="163" w:firstLine="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(一)A</w:t>
      </w:r>
      <w:r>
        <w:rPr>
          <w:rFonts w:ascii="仿宋" w:hAnsi="仿宋" w:eastAsia="仿宋" w:cs="仿宋"/>
          <w:spacing w:val="7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级信用优良行为应当具备条件为县发改委发布的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"红名单"条件。</w:t>
      </w:r>
    </w:p>
    <w:p>
      <w:pPr>
        <w:spacing w:before="2" w:line="220" w:lineRule="auto"/>
        <w:ind w:firstLine="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(二)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B级一般失信行为应当具备以下其中一个条件:</w:t>
      </w:r>
    </w:p>
    <w:p>
      <w:pPr>
        <w:spacing w:before="193" w:line="323" w:lineRule="auto"/>
        <w:ind w:right="159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1.一年内责令(限期)</w:t>
      </w:r>
      <w:r>
        <w:rPr>
          <w:rFonts w:ascii="仿宋" w:hAnsi="仿宋" w:eastAsia="仿宋" w:cs="仿宋"/>
          <w:spacing w:val="9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改正、警告累计次数3次(不含)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4"/>
          <w:szCs w:val="34"/>
        </w:rPr>
        <w:t>以内的;</w:t>
      </w:r>
    </w:p>
    <w:p>
      <w:pPr>
        <w:spacing w:before="3" w:line="322" w:lineRule="auto"/>
        <w:ind w:right="152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2.一年内发生行政处罚案件3次(不含)</w:t>
      </w:r>
      <w:r>
        <w:rPr>
          <w:rFonts w:ascii="仿宋" w:hAnsi="仿宋" w:eastAsia="仿宋" w:cs="仿宋"/>
          <w:spacing w:val="-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以内,且罚没款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金额累计不超过50万元;</w:t>
      </w:r>
    </w:p>
    <w:p>
      <w:pPr>
        <w:spacing w:before="1" w:line="222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3.一年内违反许可承诺书3次(不含)</w:t>
      </w:r>
      <w:r>
        <w:rPr>
          <w:rFonts w:ascii="仿宋" w:hAnsi="仿宋" w:eastAsia="仿宋" w:cs="仿宋"/>
          <w:spacing w:val="10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以内的;</w:t>
      </w:r>
    </w:p>
    <w:p>
      <w:pPr>
        <w:spacing w:before="171" w:line="326" w:lineRule="auto"/>
        <w:ind w:right="163" w:firstLine="7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(三)C级严重失信行为应当具备条件为县发改委发布的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4"/>
          <w:szCs w:val="34"/>
        </w:rPr>
        <w:t>"黑名单"条件。</w:t>
      </w:r>
    </w:p>
    <w:p>
      <w:pPr>
        <w:spacing w:before="3" w:line="325" w:lineRule="auto"/>
        <w:ind w:right="1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第九条</w:t>
      </w:r>
      <w:r>
        <w:rPr>
          <w:rFonts w:ascii="仿宋" w:hAnsi="仿宋" w:eastAsia="仿宋" w:cs="仿宋"/>
          <w:spacing w:val="3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5"/>
          <w:sz w:val="34"/>
          <w:szCs w:val="34"/>
        </w:rPr>
        <w:t>对同一违法行为的处理决定同时包括多个不同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种类和幅度的,以最重的种类和幅度确定失信行为的严重程度.</w:t>
      </w:r>
    </w:p>
    <w:p>
      <w:pPr>
        <w:spacing w:line="323" w:lineRule="auto"/>
        <w:ind w:right="145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第十条</w:t>
      </w:r>
      <w:r>
        <w:rPr>
          <w:rFonts w:ascii="仿宋" w:hAnsi="仿宋" w:eastAsia="仿宋" w:cs="仿宋"/>
          <w:spacing w:val="4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5"/>
          <w:sz w:val="34"/>
          <w:szCs w:val="34"/>
        </w:rPr>
        <w:t>同一处理决定中包含多个违法行为的,应当对每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个违法行为分别确定其失信严重程度。</w:t>
      </w:r>
    </w:p>
    <w:p>
      <w:pPr>
        <w:spacing w:before="1" w:line="341" w:lineRule="auto"/>
        <w:ind w:right="298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第十一条</w:t>
      </w:r>
      <w:r>
        <w:rPr>
          <w:rFonts w:ascii="仿宋" w:hAnsi="仿宋" w:eastAsia="仿宋" w:cs="仿宋"/>
          <w:spacing w:val="4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对信用等级评为A级的管理相对人,实施下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列激励措施:</w:t>
      </w:r>
    </w:p>
    <w:p>
      <w:pPr>
        <w:sectPr>
          <w:footerReference r:id="rId6" w:type="default"/>
          <w:pgSz w:w="11640" w:h="16550"/>
          <w:pgMar w:top="1363" w:right="1474" w:bottom="1114" w:left="1549" w:header="0" w:footer="946" w:gutter="0"/>
          <w:cols w:space="720" w:num="1"/>
        </w:sectPr>
      </w:pPr>
    </w:p>
    <w:p>
      <w:pPr>
        <w:spacing w:before="65" w:line="352" w:lineRule="auto"/>
        <w:ind w:right="14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一)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按照国家、省、市和县有关规定,符合条件的,予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以发文表彰;</w:t>
      </w:r>
    </w:p>
    <w:p>
      <w:pPr>
        <w:spacing w:line="220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)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除投诉举报和专项检查外,免予日常巡查检查;</w:t>
      </w:r>
    </w:p>
    <w:p>
      <w:pPr>
        <w:spacing w:before="218" w:line="600" w:lineRule="exact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0"/>
          <w:sz w:val="32"/>
          <w:szCs w:val="32"/>
        </w:rPr>
        <w:t>(</w:t>
      </w:r>
      <w:r>
        <w:rPr>
          <w:rFonts w:ascii="仿宋" w:hAnsi="仿宋" w:eastAsia="仿宋" w:cs="仿宋"/>
          <w:spacing w:val="-80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20"/>
          <w:sz w:val="32"/>
          <w:szCs w:val="32"/>
        </w:rPr>
        <w:t>三)</w:t>
      </w:r>
      <w:r>
        <w:rPr>
          <w:rFonts w:ascii="仿宋" w:hAnsi="仿宋" w:eastAsia="仿宋" w:cs="仿宋"/>
          <w:spacing w:val="8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20"/>
          <w:sz w:val="32"/>
          <w:szCs w:val="32"/>
        </w:rPr>
        <w:t>在办理行政许可过程中,可根据实际情况实施"绿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色通道"等便利服务措施;</w:t>
      </w:r>
    </w:p>
    <w:p>
      <w:pPr>
        <w:spacing w:before="184" w:line="630" w:lineRule="exact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23"/>
          <w:sz w:val="32"/>
          <w:szCs w:val="32"/>
        </w:rPr>
        <w:t>(</w:t>
      </w:r>
      <w:r>
        <w:rPr>
          <w:rFonts w:ascii="仿宋" w:hAnsi="仿宋" w:eastAsia="仿宋" w:cs="仿宋"/>
          <w:spacing w:val="-42"/>
          <w:position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23"/>
          <w:sz w:val="32"/>
          <w:szCs w:val="32"/>
        </w:rPr>
        <w:t>四)</w:t>
      </w:r>
      <w:r>
        <w:rPr>
          <w:rFonts w:ascii="仿宋" w:hAnsi="仿宋" w:eastAsia="仿宋" w:cs="仿宋"/>
          <w:spacing w:val="-22"/>
          <w:position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23"/>
          <w:sz w:val="32"/>
          <w:szCs w:val="32"/>
        </w:rPr>
        <w:t>在项目申报、项目招投标、资格审查、资格认定等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各类政府优惠政策中,优先考虑诚信市场主体;</w:t>
      </w:r>
    </w:p>
    <w:p>
      <w:pPr>
        <w:spacing w:before="186" w:line="346" w:lineRule="auto"/>
        <w:ind w:right="32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五)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法律、法规、规章和规范性文件规定的其他激励措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施。</w:t>
      </w:r>
    </w:p>
    <w:p>
      <w:pPr>
        <w:spacing w:line="620" w:lineRule="exact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第十二条</w:t>
      </w:r>
      <w:r>
        <w:rPr>
          <w:rFonts w:ascii="仿宋" w:hAnsi="仿宋" w:eastAsia="仿宋" w:cs="仿宋"/>
          <w:spacing w:val="83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对信用等级评为B级的管理相对人,实施下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列管理措施:</w:t>
      </w:r>
    </w:p>
    <w:p>
      <w:pPr>
        <w:spacing w:before="184" w:line="620" w:lineRule="exact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2"/>
          <w:sz w:val="32"/>
          <w:szCs w:val="32"/>
        </w:rPr>
        <w:t>(一)适当增加日常检查频次,在随机抽查中列为检查对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象;</w:t>
      </w:r>
    </w:p>
    <w:p>
      <w:pPr>
        <w:spacing w:before="183" w:line="620" w:lineRule="exact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(二)加强对管理相对人的政策法规宣传、业务辅导等服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务工作,帮助其提升依法执业水平;</w:t>
      </w:r>
    </w:p>
    <w:p>
      <w:pPr>
        <w:spacing w:before="205" w:line="222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三)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法律、法规、规章规定的其他管理措施.</w:t>
      </w:r>
    </w:p>
    <w:p>
      <w:pPr>
        <w:spacing w:before="189" w:line="630" w:lineRule="exact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3"/>
          <w:sz w:val="32"/>
          <w:szCs w:val="32"/>
        </w:rPr>
        <w:t>第十三条</w:t>
      </w:r>
      <w:r>
        <w:rPr>
          <w:rFonts w:ascii="仿宋" w:hAnsi="仿宋" w:eastAsia="仿宋" w:cs="仿宋"/>
          <w:spacing w:val="56"/>
          <w:position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2"/>
          <w:szCs w:val="32"/>
        </w:rPr>
        <w:t>对信用等级评为C级的管理相对人,实施下列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惩戒措施:</w:t>
      </w:r>
    </w:p>
    <w:p>
      <w:pPr>
        <w:spacing w:before="202" w:line="351" w:lineRule="auto"/>
        <w:ind w:left="639"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一)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依法加强行政性约束和惩戒:</w:t>
      </w:r>
      <w:r>
        <w:rPr>
          <w:rFonts w:ascii="仿宋" w:hAnsi="仿宋" w:eastAsia="仿宋" w:cs="仿宋"/>
          <w:sz w:val="32"/>
          <w:szCs w:val="32"/>
        </w:rPr>
        <w:t xml:space="preserve">                   1.引导管理相对人增强法律意识,提高法律遵从度;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2.加大日常检查频次和随机抽查力度,实行动态监管;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5"/>
          <w:sz w:val="32"/>
          <w:szCs w:val="32"/>
        </w:rPr>
        <w:t>3.严格限制参与涉及我委行政职能相关活动;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-7"/>
          <w:sz w:val="32"/>
          <w:szCs w:val="32"/>
        </w:rPr>
        <w:t>4.对企业及其法定代表人、主要负责人和对失信行为负有</w:t>
      </w:r>
    </w:p>
    <w:p>
      <w:pPr>
        <w:sectPr>
          <w:footerReference r:id="rId7" w:type="default"/>
          <w:pgSz w:w="11640" w:h="16550"/>
          <w:pgMar w:top="1397" w:right="1628" w:bottom="1138" w:left="1549" w:header="0" w:footer="872" w:gutter="0"/>
          <w:cols w:space="720" w:num="1"/>
        </w:sectPr>
      </w:pPr>
    </w:p>
    <w:p>
      <w:pPr>
        <w:spacing w:before="65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直接责任的注册执业人员等实施市场和行业禁入措施;</w:t>
      </w:r>
    </w:p>
    <w:p>
      <w:pPr>
        <w:spacing w:before="208" w:line="220" w:lineRule="auto"/>
        <w:ind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(二)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加强市场性约束和惩戒:</w:t>
      </w:r>
    </w:p>
    <w:p>
      <w:pPr>
        <w:spacing w:before="207" w:line="349" w:lineRule="auto"/>
        <w:ind w:right="28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1.以统一社会信用代码为索引,及时公开披露相关信息,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便于市场识别失信行为,防范信用风险;</w:t>
      </w:r>
    </w:p>
    <w:p>
      <w:pPr>
        <w:spacing w:line="349" w:lineRule="auto"/>
        <w:ind w:right="15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2.支持征信机构采集严重失信行为信息,纳入信用记录和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信用报告。</w:t>
      </w:r>
    </w:p>
    <w:p>
      <w:pPr>
        <w:spacing w:line="346" w:lineRule="auto"/>
        <w:ind w:right="149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三)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法律、法规、规章和规范性文件规定的其他管理措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施。</w:t>
      </w:r>
    </w:p>
    <w:p>
      <w:pPr>
        <w:spacing w:before="2" w:line="34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第十四条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对一般失信行为,采取口头信用提醒或书面信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用提醒方式告知当事人;对于严重失信行为,采取书面信用提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醒或诚信约谈等方式告知当事人.采取书面信用提醒方式的,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应当将失信信息书面通知当事人,提醒其纠正和规范相关行为.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采取约谈方式的,对社会法人,应当约谈其主要负责人、分管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负责人或者直接责任人,对自然人应当约谈其本人.约谈内容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包括指出失信行为,宣传相关法律、法规、规章和政策,督促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其严格自律、诚信守法.信用提醒和诚信约谈应当登记,详细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记载提醒和约谈的对象、时间、方式及内容,并报送至委信用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办留存。</w:t>
      </w:r>
    </w:p>
    <w:p>
      <w:pPr>
        <w:spacing w:before="183" w:line="344" w:lineRule="auto"/>
        <w:ind w:right="15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第十五条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进一步拓宽公众参与监督渠道和方式,鼓励社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会公众举报企业严重失信行为,对举报人信息严格保密.加大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对失信主体的惩戒力度,及时予以曝光,鼓励守信行为,对信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用良好的管理相对人给予优惠和鼓励政策。</w:t>
      </w:r>
    </w:p>
    <w:p>
      <w:pPr>
        <w:spacing w:before="1" w:line="2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第十六条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管理相对人对失信行为有异议的,后期经过认</w:t>
      </w:r>
    </w:p>
    <w:p>
      <w:pPr>
        <w:sectPr>
          <w:footerReference r:id="rId8" w:type="default"/>
          <w:pgSz w:w="11610" w:h="16530"/>
          <w:pgMar w:top="1384" w:right="1461" w:bottom="1079" w:left="1529" w:header="0" w:footer="914" w:gutter="0"/>
          <w:cols w:space="720" w:num="1"/>
        </w:sectPr>
      </w:pPr>
    </w:p>
    <w:p>
      <w:pPr>
        <w:spacing w:before="65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定进行撤销,或进行信用修复的,信用办将根据办理结果,更</w:t>
      </w:r>
    </w:p>
    <w:p>
      <w:pPr>
        <w:spacing w:before="246" w:line="222" w:lineRule="auto"/>
        <w:ind w:firstLine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改信用分级分类监管信息。</w:t>
      </w:r>
    </w:p>
    <w:p>
      <w:pPr>
        <w:spacing w:before="176" w:line="220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第十七条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本制度由县发改委负责解释,自发布之日起实</w:t>
      </w:r>
    </w:p>
    <w:p>
      <w:pPr>
        <w:spacing w:before="249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施。</w:t>
      </w:r>
    </w:p>
    <w:sectPr>
      <w:footerReference r:id="rId9" w:type="default"/>
      <w:pgSz w:w="11640" w:h="16540"/>
      <w:pgMar w:top="1347" w:right="1642" w:bottom="1177" w:left="1549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94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w w:val="80"/>
        <w:sz w:val="26"/>
        <w:szCs w:val="26"/>
      </w:rPr>
      <w:t>─2──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394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position w:val="-3"/>
        <w:sz w:val="24"/>
        <w:szCs w:val="24"/>
      </w:rPr>
      <w:t>─3─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394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8"/>
        <w:w w:val="66"/>
        <w:sz w:val="26"/>
        <w:szCs w:val="26"/>
      </w:rPr>
      <w:t>──4──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3950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position w:val="-3"/>
        <w:sz w:val="24"/>
        <w:szCs w:val="24"/>
      </w:rPr>
      <w:t>─5─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39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w w:val="74"/>
        <w:sz w:val="28"/>
        <w:szCs w:val="28"/>
      </w:rPr>
      <w:t>──6─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F7379B"/>
    <w:rsid w:val="7D296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2022-03-18T01:46:00Z</dcterms:created>
  <dc:creator>Administrator</dc:creator>
  <cp:lastModifiedBy>梦</cp:lastModifiedBy>
  <dcterms:modified xsi:type="dcterms:W3CDTF">2022-03-18T08:48:29Z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2022-03-18T09:37:13Z</vt:filetime>
  </property>
  <property fmtid="{D5CDD505-2E9C-101B-9397-08002B2CF9AE}" pid="4" name="KSOProductBuildVer">
    <vt:lpwstr>2052-11.1.0.11365</vt:lpwstr>
  </property>
  <property fmtid="{D5CDD505-2E9C-101B-9397-08002B2CF9AE}" pid="5" name="ICV">
    <vt:lpwstr>132A45DB0A90464B93F792403ADF0198</vt:lpwstr>
  </property>
</Properties>
</file>