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200"/>
        <w:spacing w:before="409" w:line="219" w:lineRule="auto"/>
        <w:rPr>
          <w:rFonts w:ascii="SimSun" w:hAnsi="SimSun" w:eastAsia="SimSun" w:cs="SimSun"/>
          <w:sz w:val="126"/>
          <w:szCs w:val="126"/>
        </w:rPr>
      </w:pPr>
      <w:r>
        <w:rPr>
          <w:rFonts w:ascii="SimSun" w:hAnsi="SimSun" w:eastAsia="SimSun" w:cs="SimSun"/>
          <w:sz w:val="126"/>
          <w:szCs w:val="126"/>
          <w:color w:val="E53516"/>
          <w14:textOutline w14:w="22885" w14:cap="flat" w14:cmpd="sng">
            <w14:solidFill>
              <w14:srgbClr w14:val="E53516"/>
            </w14:solidFill>
            <w14:prstDash w14:val="solid"/>
            <w14:miter w14:lim="10"/>
          </w14:textOutline>
          <w:spacing w:val="-79"/>
          <w:w w:val="63"/>
        </w:rPr>
        <w:t>潢川县市场监督管理局文件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283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潢市监字〔2021〕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71号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80" w:lineRule="exact"/>
        <w:textAlignment w:val="center"/>
        <w:rPr/>
      </w:pPr>
      <w:r>
        <w:drawing>
          <wp:inline distT="0" distB="0" distL="0" distR="0">
            <wp:extent cx="5670552" cy="5081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0552" cy="5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222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潢川县市场监督管理局</w:t>
      </w:r>
    </w:p>
    <w:p>
      <w:pPr>
        <w:ind w:firstLine="466"/>
        <w:spacing w:before="42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关于印发服务"万人助万企"20条举措的</w:t>
      </w:r>
    </w:p>
    <w:p>
      <w:pPr>
        <w:ind w:firstLine="3766"/>
        <w:spacing w:before="46" w:line="221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通</w:t>
      </w:r>
      <w:r>
        <w:rPr>
          <w:rFonts w:ascii="SimSun" w:hAnsi="SimSun" w:eastAsia="SimSun" w:cs="SimSun"/>
          <w:sz w:val="46"/>
          <w:szCs w:val="46"/>
          <w:spacing w:val="3"/>
        </w:rPr>
        <w:t>  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知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660"/>
        <w:spacing w:before="10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局属各单位、机关各股室:</w:t>
      </w:r>
    </w:p>
    <w:p>
      <w:pPr>
        <w:ind w:left="20" w:right="105" w:firstLine="659"/>
        <w:spacing w:before="159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为深入贯彻落实县委、县政府“万人助万企"活动部署和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省、市局《关于印发服务"万人助万企"12条举措的通知》精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17"/>
          <w:w w:val="102"/>
        </w:rPr>
        <w:t>神,充分发挥市场监管职能作用,帮助企业纾困解难,助推企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业高质量发展,县局研究制定了《潢川县市场监督管理局服务</w:t>
      </w:r>
    </w:p>
    <w:p>
      <w:pPr>
        <w:ind w:left="20" w:right="116" w:firstLine="159"/>
        <w:spacing w:before="2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"万人助万企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"20条举措》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,现印发给你们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,请结合实际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,认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真抓好贯彻落实。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5550" w:right="800" w:hanging="590"/>
        <w:spacing w:before="105" w:line="328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3517904</wp:posOffset>
            </wp:positionH>
            <wp:positionV relativeFrom="paragraph">
              <wp:posOffset>-310088</wp:posOffset>
            </wp:positionV>
            <wp:extent cx="1523994" cy="151128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94" cy="151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4"/>
        </w:rPr>
        <w:t>潢川县市场监督管理局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2021年8月15日</w:t>
      </w:r>
    </w:p>
    <w:p>
      <w:pPr>
        <w:sectPr>
          <w:pgSz w:w="12290" w:h="17100"/>
          <w:pgMar w:top="1453" w:right="1620" w:bottom="0" w:left="1739" w:header="0" w:footer="0" w:gutter="0"/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566" w:right="1765" w:firstLine="669"/>
        <w:spacing w:before="143" w:line="25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潢川县市场监督管理局</w:t>
      </w:r>
      <w:r>
        <w:rPr>
          <w:rFonts w:ascii="SimSun" w:hAnsi="SimSun" w:eastAsia="SimSun" w:cs="SimSun"/>
          <w:sz w:val="44"/>
          <w:szCs w:val="44"/>
        </w:rPr>
        <w:t>   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  <w:w w:val="102"/>
        </w:rPr>
        <w:t>服务"万人助万企"20条举措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64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一、加强组织领导,扎实推进活动开展</w:t>
      </w:r>
    </w:p>
    <w:p>
      <w:pPr>
        <w:ind w:firstLine="640"/>
        <w:spacing w:before="20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开展"万人助万企"活动是省委省政府、市委市政府和县委</w:t>
      </w:r>
      <w:r>
        <w:rPr>
          <w:rFonts w:ascii="FangSong" w:hAnsi="FangSong" w:eastAsia="FangSong" w:cs="FangSong"/>
          <w:sz w:val="32"/>
          <w:szCs w:val="32"/>
          <w:spacing w:val="12"/>
        </w:rPr>
        <w:t>  </w:t>
      </w:r>
      <w:r>
        <w:rPr>
          <w:rFonts w:ascii="FangSong" w:hAnsi="FangSong" w:eastAsia="FangSong" w:cs="FangSong"/>
          <w:sz w:val="32"/>
          <w:szCs w:val="32"/>
          <w:spacing w:val="8"/>
        </w:rPr>
        <w:t>县政府重大决策部署,是落实党史学习教育"我为群众办实事"</w:t>
      </w:r>
      <w:r>
        <w:rPr>
          <w:rFonts w:ascii="FangSong" w:hAnsi="FangSong" w:eastAsia="FangSong" w:cs="FangSong"/>
          <w:sz w:val="32"/>
          <w:szCs w:val="32"/>
          <w:spacing w:val="2"/>
        </w:rPr>
        <w:t>   </w:t>
      </w:r>
      <w:r>
        <w:rPr>
          <w:rFonts w:ascii="FangSong" w:hAnsi="FangSong" w:eastAsia="FangSong" w:cs="FangSong"/>
          <w:sz w:val="32"/>
          <w:szCs w:val="32"/>
          <w:spacing w:val="2"/>
        </w:rPr>
        <w:t>实践活动的重要举措,是推动我县经济转型升级发展的重要抓手.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市场监管部门作为市场主体的准入者,责任重大,任务艰巨.县局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班子成员要带头开展助企活动,聚焦企业发展重点难点堵点痛点问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1"/>
        </w:rPr>
        <w:t>题,为企业办实事、解难题、谋发展.要压实工作责任,组织系统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干部深入企业调查研究,对企业在营商环境、生产销售、知识产权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2"/>
        </w:rPr>
        <w:t>保护、公平竞争、质量认证等方面存在的困难和问题,建立工作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台账,实施销号管理,帮助企业解决好面临的突出问题和瓶颈制约,助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推各类企业高质量发展。</w:t>
      </w:r>
    </w:p>
    <w:p>
      <w:pPr>
        <w:ind w:firstLine="644"/>
        <w:spacing w:before="16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二、严格落实包干制度,深入解决实际问题</w:t>
      </w:r>
    </w:p>
    <w:p>
      <w:pPr>
        <w:ind w:right="28" w:firstLine="640"/>
        <w:spacing w:before="193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要深入摸排全县重点企业情况,做好帮扶工作.认真落实党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18"/>
        </w:rPr>
        <w:t>史学习教育要求,县局领导班子成员要高质量完成领办的3项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14"/>
        </w:rPr>
        <w:t>“我为群众办实事"重点项目,各市场监管所要按照"我为群众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2"/>
        </w:rPr>
        <w:t>办实事"实践活动专项方案,积极贯彻落实.通过分级包干制度,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推动市场监管系统各级领导干部躬身入局、履责于行、崇尚实干、狠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抓落实,真正摸清企业面临的困难和问题,主动为企业服务好、发</w:t>
      </w:r>
    </w:p>
    <w:p>
      <w:pPr>
        <w:sectPr>
          <w:pgSz w:w="11960" w:h="16870"/>
          <w:pgMar w:top="1433" w:right="1276" w:bottom="0" w:left="1639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展好。</w:t>
      </w:r>
    </w:p>
    <w:p>
      <w:pPr>
        <w:ind w:firstLine="614"/>
        <w:spacing w:before="199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三、深化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"证照分离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"改革,破解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"准入不准营</w:t>
      </w:r>
      <w:r>
        <w:rPr>
          <w:rFonts w:ascii="SimHei" w:hAnsi="SimHei" w:eastAsia="SimHei" w:cs="SimHei"/>
          <w:sz w:val="32"/>
          <w:szCs w:val="32"/>
          <w:spacing w:val="-87"/>
        </w:rPr>
        <w:t> </w:t>
      </w: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"难题</w:t>
      </w:r>
    </w:p>
    <w:p>
      <w:pPr>
        <w:ind w:right="257" w:firstLine="610"/>
        <w:spacing w:before="190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把深化"证照分离"改革作为统筹推进"放管服"改革、行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政审批制度改革和商事制度改革的着力点和落脚点,积极履行牵头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职能,按照审批最少、流程最优、监管最强、服务最好的要求,在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全县对涉企经营许可事项实施"证照分离"改革全覆盖,助力企业</w:t>
      </w:r>
    </w:p>
    <w:p>
      <w:pPr>
        <w:ind w:firstLine="150"/>
        <w:spacing w:before="1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"快入准营".转变监管理念,落实"谁审批、谁监管,谁主管、谁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3"/>
        </w:rPr>
        <w:t>监管",创新和加强事中事后监管,实现审批和监管无缝衔接,建</w:t>
      </w:r>
      <w:r>
        <w:rPr>
          <w:rFonts w:ascii="FangSong" w:hAnsi="FangSong" w:eastAsia="FangSong" w:cs="FangSong"/>
          <w:sz w:val="32"/>
          <w:szCs w:val="32"/>
          <w:spacing w:val="12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立简约高效、公正透明、宽进严管的秩序规则,着力打造市场化、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法治化、国际化的一流营商环境。</w:t>
      </w:r>
    </w:p>
    <w:p>
      <w:pPr>
        <w:ind w:firstLine="614"/>
        <w:spacing w:before="2" w:line="220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四、创新政务服务手段,降低企业制度性成本</w:t>
      </w:r>
    </w:p>
    <w:p>
      <w:pPr>
        <w:ind w:right="249" w:firstLine="610"/>
        <w:spacing w:before="190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运用企业开办“一网通办"平台,构建线上"一网通办"、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2"/>
        </w:rPr>
        <w:t>线下"一窗通办"的优质高效服务模式。推行"企业开办+N项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服务",对接县直有关部门,将公章刻制、税务登记、社保登记、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公积金缴存、银行开户等更多事项纳入企业开办流程,将全市企业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开办时间压缩至0.5个工作日,企业登记0.5个工作日,公章刻制、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初次申领发票同时进行并联办理。食品生产行政许可实行一周办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结制,现场核查时间由10个工作日减少到5个工作日,变更或者延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续食品生产许可实施现场即时办结.降低企业开办成本,推行新开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办企业零收费.运用市场监管部门一体化数据平台,大力推广全程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电子化,拓展电子营业执照应用覆盖面,试点电子营业执照和电子</w:t>
      </w:r>
    </w:p>
    <w:p>
      <w:pPr>
        <w:sectPr>
          <w:pgSz w:w="11970" w:h="16880"/>
          <w:pgMar w:top="1434" w:right="1390" w:bottom="0" w:left="1539" w:header="0" w:footer="0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印章联合发放。</w:t>
      </w:r>
    </w:p>
    <w:p>
      <w:pPr>
        <w:ind w:firstLine="614"/>
        <w:spacing w:before="239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  <w:w w:val="103"/>
        </w:rPr>
        <w:t>五、深化政银合作,提高金融服务市场主体效能</w:t>
      </w:r>
    </w:p>
    <w:p>
      <w:pPr>
        <w:ind w:right="220" w:firstLine="610"/>
        <w:spacing w:before="221" w:line="36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深入调查研究全县小微企业和个体工商户需求,搭建非公经</w:t>
      </w:r>
      <w:r>
        <w:rPr>
          <w:rFonts w:ascii="FangSong" w:hAnsi="FangSong" w:eastAsia="FangSong" w:cs="FangSong"/>
          <w:sz w:val="30"/>
          <w:szCs w:val="30"/>
          <w:spacing w:val="17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  <w:w w:val="103"/>
        </w:rPr>
        <w:t>济企业融资平台,举办好政、银、企对接会和产品推介会,积极</w:t>
      </w:r>
      <w:r>
        <w:rPr>
          <w:rFonts w:ascii="FangSong" w:hAnsi="FangSong" w:eastAsia="FangSong" w:cs="FangSong"/>
          <w:sz w:val="30"/>
          <w:szCs w:val="30"/>
          <w:spacing w:val="1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  <w:w w:val="103"/>
        </w:rPr>
        <w:t>破解小微、非公企业融资难题,促进非公企业健康发展.积极协</w:t>
      </w:r>
      <w:r>
        <w:rPr>
          <w:rFonts w:ascii="FangSong" w:hAnsi="FangSong" w:eastAsia="FangSong" w:cs="FangSong"/>
          <w:sz w:val="30"/>
          <w:szCs w:val="30"/>
          <w:spacing w:val="6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2"/>
        </w:rPr>
        <w:t>调国家知识产权运营公共服务平台交易运营(郑州)</w:t>
      </w:r>
      <w:r>
        <w:rPr>
          <w:rFonts w:ascii="FangSong" w:hAnsi="FangSong" w:eastAsia="FangSong" w:cs="FangSong"/>
          <w:sz w:val="30"/>
          <w:szCs w:val="30"/>
          <w:spacing w:val="-38"/>
        </w:rPr>
        <w:t> </w:t>
      </w:r>
      <w:r>
        <w:rPr>
          <w:rFonts w:ascii="FangSong" w:hAnsi="FangSong" w:eastAsia="FangSong" w:cs="FangSong"/>
          <w:sz w:val="30"/>
          <w:szCs w:val="30"/>
          <w:spacing w:val="16"/>
          <w:w w:val="102"/>
        </w:rPr>
        <w:t>试点平台及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17"/>
          <w:w w:val="101"/>
        </w:rPr>
        <w:t>有关评估服务机构深入我县重点产业园区和企业,开展银企专项</w:t>
      </w:r>
      <w:r>
        <w:rPr>
          <w:rFonts w:ascii="FangSong" w:hAnsi="FangSong" w:eastAsia="FangSong" w:cs="FangSong"/>
          <w:sz w:val="30"/>
          <w:szCs w:val="30"/>
          <w:spacing w:val="13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对接活动,加大知识产权质押融资政策宣讲和融资产品推介力度,帮</w:t>
      </w:r>
      <w:r>
        <w:rPr>
          <w:rFonts w:ascii="FangSong" w:hAnsi="FangSong" w:eastAsia="FangSong" w:cs="FangSong"/>
          <w:sz w:val="30"/>
          <w:szCs w:val="30"/>
          <w:spacing w:val="16"/>
        </w:rPr>
        <w:t> </w:t>
      </w:r>
      <w:r>
        <w:rPr>
          <w:rFonts w:ascii="FangSong" w:hAnsi="FangSong" w:eastAsia="FangSong" w:cs="FangSong"/>
          <w:sz w:val="30"/>
          <w:szCs w:val="30"/>
          <w:spacing w:val="9"/>
        </w:rPr>
        <w:t>助科技型中小企业解决资金短缺难题,促进科技型企业健康发展.</w:t>
      </w:r>
    </w:p>
    <w:p>
      <w:pPr>
        <w:ind w:firstLine="614"/>
        <w:spacing w:before="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  <w:w w:val="104"/>
        </w:rPr>
        <w:t>六、推进质量强市建设,促进质量提升</w:t>
      </w:r>
    </w:p>
    <w:p>
      <w:pPr>
        <w:ind w:firstLine="610"/>
        <w:spacing w:before="211" w:line="36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w w:val="102"/>
        </w:rPr>
        <w:t>健全完善质量奖励机制,积极引导和正向激励企业提升质量</w:t>
      </w:r>
      <w:r>
        <w:rPr>
          <w:rFonts w:ascii="FangSong" w:hAnsi="FangSong" w:eastAsia="FangSong" w:cs="FangSong"/>
          <w:sz w:val="30"/>
          <w:szCs w:val="30"/>
          <w:spacing w:val="12"/>
        </w:rPr>
        <w:t>  </w:t>
      </w:r>
      <w:r>
        <w:rPr>
          <w:rFonts w:ascii="FangSong" w:hAnsi="FangSong" w:eastAsia="FangSong" w:cs="FangSong"/>
          <w:sz w:val="30"/>
          <w:szCs w:val="30"/>
          <w:spacing w:val="5"/>
        </w:rPr>
        <w:t>品牌价值,在全县遴选培育企业申报省长质量奖,打造潢川质量品牌.</w:t>
      </w:r>
      <w:r>
        <w:rPr>
          <w:rFonts w:ascii="FangSong" w:hAnsi="FangSong" w:eastAsia="FangSong" w:cs="FangSong"/>
          <w:sz w:val="30"/>
          <w:szCs w:val="30"/>
          <w:spacing w:val="12"/>
        </w:rPr>
        <w:t> </w:t>
      </w:r>
      <w:r>
        <w:rPr>
          <w:rFonts w:ascii="FangSong" w:hAnsi="FangSong" w:eastAsia="FangSong" w:cs="FangSong"/>
          <w:sz w:val="30"/>
          <w:szCs w:val="30"/>
          <w:spacing w:val="11"/>
        </w:rPr>
        <w:t>推进乡镇"一乡一业一品"质量提升,引导企业落实首席质量官制度.</w:t>
      </w:r>
    </w:p>
    <w:p>
      <w:pPr>
        <w:ind w:firstLine="614"/>
        <w:spacing w:before="2" w:line="220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  <w:w w:val="104"/>
        </w:rPr>
        <w:t>七、加强知识产权发展,打造信阳知名品牌</w:t>
      </w:r>
    </w:p>
    <w:p>
      <w:pPr>
        <w:ind w:right="46" w:firstLine="610"/>
        <w:spacing w:before="221" w:line="35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积极推动县政府出台《关于进一步加强知识产权工作的实施</w:t>
      </w:r>
      <w:r>
        <w:rPr>
          <w:rFonts w:ascii="FangSong" w:hAnsi="FangSong" w:eastAsia="FangSong" w:cs="FangSong"/>
          <w:sz w:val="30"/>
          <w:szCs w:val="30"/>
          <w:spacing w:val="11"/>
        </w:rPr>
        <w:t>  </w:t>
      </w:r>
      <w:r>
        <w:rPr>
          <w:rFonts w:ascii="FangSong" w:hAnsi="FangSong" w:eastAsia="FangSong" w:cs="FangSong"/>
          <w:sz w:val="30"/>
          <w:szCs w:val="30"/>
          <w:spacing w:val="14"/>
        </w:rPr>
        <w:t>意见》.帮助我县知识产权优势企业积极申报专利奖,推动高价值</w:t>
      </w:r>
      <w:r>
        <w:rPr>
          <w:rFonts w:ascii="FangSong" w:hAnsi="FangSong" w:eastAsia="FangSong" w:cs="FangSong"/>
          <w:sz w:val="30"/>
          <w:szCs w:val="30"/>
          <w:spacing w:val="7"/>
        </w:rPr>
        <w:t>  </w:t>
      </w:r>
      <w:r>
        <w:rPr>
          <w:rFonts w:ascii="FangSong" w:hAnsi="FangSong" w:eastAsia="FangSong" w:cs="FangSong"/>
          <w:sz w:val="30"/>
          <w:szCs w:val="30"/>
          <w:spacing w:val="15"/>
        </w:rPr>
        <w:t>专利创造和运用.开展知识产权强企培育备案,提升企业核心竞争</w:t>
      </w:r>
      <w:r>
        <w:rPr>
          <w:rFonts w:ascii="FangSong" w:hAnsi="FangSong" w:eastAsia="FangSong" w:cs="FangSong"/>
          <w:sz w:val="30"/>
          <w:szCs w:val="30"/>
          <w:spacing w:val="11"/>
        </w:rPr>
        <w:t>  </w:t>
      </w:r>
      <w:r>
        <w:rPr>
          <w:rFonts w:ascii="FangSong" w:hAnsi="FangSong" w:eastAsia="FangSong" w:cs="FangSong"/>
          <w:sz w:val="30"/>
          <w:szCs w:val="30"/>
          <w:spacing w:val="16"/>
          <w:w w:val="103"/>
        </w:rPr>
        <w:t>力.指导帮助有申报意愿的主体申报1至2个地理标志商标,提升</w:t>
      </w:r>
      <w:r>
        <w:rPr>
          <w:rFonts w:ascii="FangSong" w:hAnsi="FangSong" w:eastAsia="FangSong" w:cs="FangSong"/>
          <w:sz w:val="30"/>
          <w:szCs w:val="30"/>
          <w:spacing w:val="8"/>
        </w:rPr>
        <w:t>  </w:t>
      </w:r>
      <w:r>
        <w:rPr>
          <w:rFonts w:ascii="FangSong" w:hAnsi="FangSong" w:eastAsia="FangSong" w:cs="FangSong"/>
          <w:sz w:val="30"/>
          <w:szCs w:val="30"/>
          <w:spacing w:val="17"/>
          <w:w w:val="103"/>
        </w:rPr>
        <w:t>我县地理标志拥有量,助力乡村振兴.收集我县有海外维权需求</w:t>
      </w:r>
      <w:r>
        <w:rPr>
          <w:rFonts w:ascii="FangSong" w:hAnsi="FangSong" w:eastAsia="FangSong" w:cs="FangSong"/>
          <w:sz w:val="30"/>
          <w:szCs w:val="30"/>
          <w:spacing w:val="2"/>
        </w:rPr>
        <w:t>  </w:t>
      </w:r>
      <w:r>
        <w:rPr>
          <w:rFonts w:ascii="FangSong" w:hAnsi="FangSong" w:eastAsia="FangSong" w:cs="FangSong"/>
          <w:sz w:val="30"/>
          <w:szCs w:val="30"/>
          <w:spacing w:val="5"/>
        </w:rPr>
        <w:t>的企业加入国家海外知识产权纠纷应对指导中心河南分中心企业库,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4"/>
        </w:rPr>
        <w:t>强化我县企业海外知识产权布局,降低海外知识产权风险.</w:t>
      </w:r>
    </w:p>
    <w:p>
      <w:pPr>
        <w:sectPr>
          <w:pgSz w:w="12180" w:h="17030"/>
          <w:pgMar w:top="1447" w:right="1423" w:bottom="0" w:left="1699" w:header="0" w:footer="0" w:gutter="0"/>
        </w:sectPr>
        <w:rPr/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firstLine="64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八、坚持标准引领,提高标准化水平</w:t>
      </w:r>
    </w:p>
    <w:p>
      <w:pPr>
        <w:ind w:right="276" w:firstLine="640"/>
        <w:spacing w:before="184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支持企业建立健全标准体系,引导企业创建国家级、省级标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</w:rPr>
        <w:t>准化示范项目,指导黄国粮业潢川糯稻种植加工省级农业标准化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示范区提升创建质效。帮助我县优势领域龙头企业积极参与国家标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准、行业标准制定,以先进标准引领产业发展.支持相关协会、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学会、产业技术联盟等制定先进适用的团体标准,增加先进标准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的有效供给。全面推行企业标准产品标准自我声明公开和监督制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度,培育企业"标准领跑者",推动企业提高产品标准水平.</w:t>
      </w:r>
    </w:p>
    <w:p>
      <w:pPr>
        <w:ind w:firstLine="644"/>
        <w:spacing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九、加强消费者权益保护,营造良好消费环境</w:t>
      </w:r>
    </w:p>
    <w:p>
      <w:pPr>
        <w:ind w:firstLine="610"/>
        <w:spacing w:before="196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全面推进ODR企业的发展,积极鼓励引导企业消费纠纷在线解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6"/>
        </w:rPr>
        <w:t>决。指导企业在网络平台规范使用广告用语和规避职业索赔人恶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16"/>
          <w:w w:val="103"/>
        </w:rPr>
        <w:t>意投诉,保护企业合法权益.深入推进12315"五进"(进商场、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进超市、进市场、进企业、进景区)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建设,实现消费维权关口前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8"/>
        </w:rPr>
        <w:t>移.加大消费维权,畅通12315群众投诉举报渠道,做到"六个及</w:t>
      </w:r>
      <w:r>
        <w:rPr>
          <w:rFonts w:ascii="FangSong" w:hAnsi="FangSong" w:eastAsia="FangSong" w:cs="FangSong"/>
          <w:sz w:val="32"/>
          <w:szCs w:val="32"/>
          <w:spacing w:val="8"/>
        </w:rPr>
        <w:t>   </w:t>
      </w:r>
      <w:r>
        <w:rPr>
          <w:rFonts w:ascii="FangSong" w:hAnsi="FangSong" w:eastAsia="FangSong" w:cs="FangSong"/>
          <w:sz w:val="32"/>
          <w:szCs w:val="32"/>
          <w:spacing w:val="3"/>
        </w:rPr>
        <w:t>时"(及时受理、及时分流、及时办理、及时督办、及时回复、</w:t>
      </w:r>
      <w:r>
        <w:rPr>
          <w:rFonts w:ascii="FangSong" w:hAnsi="FangSong" w:eastAsia="FangSong" w:cs="FangSong"/>
          <w:sz w:val="32"/>
          <w:szCs w:val="32"/>
          <w:spacing w:val="8"/>
        </w:rPr>
        <w:t>   </w:t>
      </w:r>
      <w:r>
        <w:rPr>
          <w:rFonts w:ascii="FangSong" w:hAnsi="FangSong" w:eastAsia="FangSong" w:cs="FangSong"/>
          <w:sz w:val="32"/>
          <w:szCs w:val="32"/>
          <w:spacing w:val="7"/>
        </w:rPr>
        <w:t>及时上报)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,保护消费者合法权益.</w:t>
      </w:r>
    </w:p>
    <w:p>
      <w:pPr>
        <w:ind w:firstLine="644"/>
        <w:spacing w:before="1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十、积极服务食品企业,守牢食品安全底线</w:t>
      </w:r>
    </w:p>
    <w:p>
      <w:pPr>
        <w:ind w:right="278" w:firstLine="640"/>
        <w:spacing w:before="202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加强食品企业安全监管和业务指导,邀请省市专家对我县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</w:rPr>
        <w:t>重点食品、高风险食品企业进行现场指导,提升企业安全生产水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平.在全县食品生产、经营企业积极推广6S规范化管理,鼓励引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  <w:w w:val="102"/>
        </w:rPr>
        <w:t>导推行"6S+"管理体系,降低食品安全风险,提升企业管理水</w:t>
      </w:r>
    </w:p>
    <w:p>
      <w:pPr>
        <w:sectPr>
          <w:pgSz w:w="12140" w:h="17000"/>
          <w:pgMar w:top="1445" w:right="1369" w:bottom="0" w:left="1690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right="40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平.深入开展餐饮服务食品安全你我同查活动,发挥宣传带动作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13"/>
        </w:rPr>
        <w:t>用,帮助提升餐饮服务企业知名度,增加企业经济效益.规范食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品抽检工作,督促第三方检测机构科学均衡抽检,减少企业负担,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及时公示食品抽检信息,引导企业规范经营.做好提醒服务,及时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提醒快到期且有延续申请意愿的食品生产、经营企业按期换证,避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免生产许可证号作废和其他影响企业正常经营问题发生。指导河南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省华英樱桃谷食品有限公司开展《食用畜禽血制品生产良好规范》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</w:rPr>
        <w:t>研究,建立畜禽血制品生产企业的食品安全过程控制标准操作技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6"/>
        </w:rPr>
        <w:t>术规范,促进食品畜禽血制品行业健康发展.引导推进县主要餐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18"/>
          <w:w w:val="102"/>
        </w:rPr>
        <w:t>饮单位在全县打造一批"潢川菜"6S"管理示范店,提升"潢川</w:t>
      </w:r>
    </w:p>
    <w:p>
      <w:pPr>
        <w:spacing w:before="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菜"品牌声誉。</w:t>
      </w:r>
    </w:p>
    <w:p>
      <w:pPr>
        <w:ind w:firstLine="634"/>
        <w:spacing w:before="180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十一、积极服务药械企业,提升药械安全保障水平</w:t>
      </w:r>
    </w:p>
    <w:p>
      <w:pPr>
        <w:ind w:firstLine="579"/>
        <w:spacing w:before="193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根据医疗器械生产企业需要,对审批事项实施前置服务指导,引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7"/>
        </w:rPr>
        <w:t>导企业建立符合法规要求的医疗器械生产条件及质量管理体系,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对符合条件的企业申报医疗器械手续开辟绿色通道。积极做好药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</w:rPr>
        <w:t>品企业的服务指导工作,加强与省药监局及派出分局、市市场监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6"/>
        </w:rPr>
        <w:t>管局的沟通协调,根据企业需求,为企业提供政策、法律和技术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-16"/>
        </w:rPr>
        <w:t>等方面的支持和帮助。</w:t>
      </w:r>
    </w:p>
    <w:p>
      <w:pPr>
        <w:ind w:firstLine="629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6"/>
        </w:rPr>
        <w:t>十二、积极服务工业产品企业,夯实工业产品质量安全</w:t>
      </w:r>
    </w:p>
    <w:p>
      <w:pPr>
        <w:ind w:right="194" w:firstLine="589"/>
        <w:spacing w:before="19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加强工业产品企业监管和业务指导,提高企业质量管理水平.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坚持“扶优扶强,打假治劣,引导消费"的原则,严格落实监督、</w:t>
      </w:r>
    </w:p>
    <w:p>
      <w:pPr>
        <w:sectPr>
          <w:pgSz w:w="12010" w:h="16910"/>
          <w:pgMar w:top="1437" w:right="1334" w:bottom="0" w:left="1660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right="156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公告、整改制度,认真做好监督检查后处理工作,杜绝以罚代改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现象.对质量好的产品及其生产企业,加大宣传力度,扶优扶强;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对产品质量不合格的企业,责令企业整改,限期复查;对产品质量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问题严重的生产企业,坚决予以曝光,并从重处罚,确保全县工业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产品质量安全.加强计量服务,组织计量服务机构实施计量精准服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务,简化网上申报程序,为企业提供快捷优质的检定校准服务.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引导大中型企业建立完善内部量传溯源体系,节约溯源成本,提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高生产效率和产品质量。</w:t>
      </w:r>
    </w:p>
    <w:p>
      <w:pPr>
        <w:ind w:firstLine="634"/>
        <w:spacing w:before="17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十三、加强非公党建,促进非公经济健康发展</w:t>
      </w:r>
    </w:p>
    <w:p>
      <w:pPr>
        <w:ind w:firstLine="630"/>
        <w:spacing w:before="197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积极探索扶持小微企业、个体工商户发展政策和服务体系,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建立小微企业、个体工商户帮扶协调机制,建立"小个专"党建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5"/>
        </w:rPr>
        <w:t>联系点、示范点,加大政策宣传力度,积极为中小微企业和个体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工商户提供信息咨询、创业指导、就业培训、劳动用工、融资贷款、反</w:t>
      </w:r>
      <w:r>
        <w:rPr>
          <w:rFonts w:ascii="FangSong" w:hAnsi="FangSong" w:eastAsia="FangSong" w:cs="FangSong"/>
          <w:sz w:val="32"/>
          <w:szCs w:val="32"/>
          <w:spacing w:val="13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映诉求等服务,促进全市非公经济健康发展.</w:t>
      </w:r>
    </w:p>
    <w:p>
      <w:pPr>
        <w:ind w:firstLine="634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十四、开展涉企收费专项治理,切实减轻企业负担</w:t>
      </w:r>
    </w:p>
    <w:p>
      <w:pPr>
        <w:ind w:right="161" w:firstLine="580"/>
        <w:spacing w:before="194" w:line="338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加强价格政策宣传力度,积极向企业宣传国家价格法律法规、涉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企收费及有关优惠政策,推进涉企收费事项公开透明.深入开展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"治理涉企收费减轻企业负担"专项行动,对水电气暖、商业银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行、中介机构、行业协会商会、交通物流等重点领域开展涉企收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费专项检查。严厉查处依托行政职能违规收费、不落实减免降费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政策、擅自设立收费项目、不按规定降低收费标准、借疫情擅自</w:t>
      </w:r>
    </w:p>
    <w:p>
      <w:pPr>
        <w:sectPr>
          <w:pgSz w:w="11990" w:h="16890"/>
          <w:pgMar w:top="1435" w:right="1465" w:bottom="0" w:left="1569" w:header="0" w:footer="0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right="268"/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设立收费项目和收取保证金等行为,为企业纾困解难.加强住房租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赁企业监管,助推各项惠企政策落到实处.</w:t>
      </w:r>
    </w:p>
    <w:p>
      <w:pPr>
        <w:ind w:firstLine="644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十五、加强市场监管,营造健康市场环境</w:t>
      </w:r>
    </w:p>
    <w:p>
      <w:pPr>
        <w:ind w:firstLine="639"/>
        <w:spacing w:before="203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全面推行市场监管领域部门联合"双随机、一公开"监管。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强化信用监管,广泛宣传企业年报公示流程,帮助企业解决年报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操作、信用修复等问题。加强米面油、蛋肉奶、蔬菜等生活必需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品及防疫物品市场价格监管,持续推进教育、医疗、殡葬、养老领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1"/>
        </w:rPr>
        <w:t>域收费检查.加强合同行政监管,推进企业合同履约,指导企业建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立合同管理制度,使用规范合同文本,规范使用合同签定及履约程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12"/>
        </w:rPr>
        <w:t>序,营造守信互信的社会信用环境.加强广告监管,净化广告市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场环境.加强电商平台监管,指导电商企业网页亮照亮证经营、附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</w:rPr>
        <w:t>赠促销合规、价格公示规范、退货承诺兑现,为他人推广要履行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审查义务。</w:t>
      </w:r>
    </w:p>
    <w:p>
      <w:pPr>
        <w:ind w:firstLine="644"/>
        <w:spacing w:before="16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十六、加强特种设备监管,提升特种设备安全水平</w:t>
      </w:r>
    </w:p>
    <w:p>
      <w:pPr>
        <w:ind w:right="36" w:firstLine="639"/>
        <w:spacing w:before="195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加强特种设备监管,定期召开全县特种设备安全监察与检验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1"/>
        </w:rPr>
        <w:t>联席会,邀请河南省特检院信阳分院、河南省锅检院信阳分院帮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17"/>
          <w:w w:val="102"/>
        </w:rPr>
        <w:t>助指导建立并落实"检验+函告+督导"机制,即通过两院网上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6"/>
        </w:rPr>
        <w:t>检验数据,统计、筛查出超期未检及未注册设备,函告相关责任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8"/>
        </w:rPr>
        <w:t>部门和使用单位,并跟踪督导检查,帮助企业及时消除安全隐患.</w:t>
      </w:r>
    </w:p>
    <w:p>
      <w:pPr>
        <w:ind w:firstLine="639"/>
        <w:spacing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4"/>
        </w:rPr>
        <w:t>十七、加强反垄断和反不正当竞争执法,营造公平竞争的</w:t>
      </w:r>
    </w:p>
    <w:p>
      <w:pPr>
        <w:ind w:firstLine="4"/>
        <w:spacing w:before="18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市场秩序</w:t>
      </w:r>
    </w:p>
    <w:p>
      <w:pPr>
        <w:sectPr>
          <w:pgSz w:w="12160" w:h="17010"/>
          <w:pgMar w:top="1445" w:right="1429" w:bottom="0" w:left="1640" w:header="0" w:footer="0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15" w:right="13" w:firstLine="629"/>
        <w:spacing w:before="104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严格落实公平竞争审查制度,清理、废除和制止歧视性和不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公平市场待遇政策措施.加强业务培训,提高反垄断、反不正当竞争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执法办案能力和公平竞争审查业务水平。加快引入第三方评估机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构,对全县公平竞争审查工作进行评估.推进公用企业和社区团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购电商平台企业反垄断合规制度建设,提高企业反垄断反不正当竞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</w:rPr>
        <w:t>争意识,引导企业依法经营.强化反垄断和反不正当竞争执法,加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</w:rPr>
        <w:t>大对重点领域不正当竞争行为的查处力度,维护公平有序市场竞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争环境。</w:t>
      </w:r>
    </w:p>
    <w:p>
      <w:pPr>
        <w:ind w:firstLine="64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十八、深入推进柔性执法,促进企业守法诚信经营</w:t>
      </w:r>
    </w:p>
    <w:p>
      <w:pPr>
        <w:ind w:left="15" w:firstLine="629"/>
        <w:spacing w:before="200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制定下发《关于实施柔性执法进一步优化营商环境的指导意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见》《潢川县市场监督管理局行政指导工作办法(试行)</w:t>
      </w:r>
      <w:r>
        <w:rPr>
          <w:rFonts w:ascii="FangSong" w:hAnsi="FangSong" w:eastAsia="FangSong" w:cs="FangSong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》《关于印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3"/>
        </w:rPr>
        <w:t>发免于、减轻和从轻行政处罚“三张清单"的通知”,完善违法行为不予</w:t>
      </w:r>
      <w:r>
        <w:rPr>
          <w:rFonts w:ascii="FangSong" w:hAnsi="FangSong" w:eastAsia="FangSong" w:cs="FangSong"/>
          <w:sz w:val="32"/>
          <w:szCs w:val="32"/>
          <w:spacing w:val="5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处罚、减轻处罚、从轻处罚"三张清单"，尝试运用行政告诫书、行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政建议书、行政提示书等柔性方式,鼓励和引导违法行为当事人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6"/>
        </w:rPr>
        <w:t>改正轻微违法行为,主动为市场主体提供"容错支持",在法律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法规范围内最大限度减少对市场主体生产经营的影响,促进企业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自觉守法诚信经营。</w:t>
      </w:r>
    </w:p>
    <w:p>
      <w:pPr>
        <w:ind w:firstLine="645"/>
        <w:spacing w:before="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6"/>
          <w:w w:val="103"/>
        </w:rPr>
        <w:t>十九、深入开展民生领域案件查办"铁拳"行动,规范企</w:t>
      </w:r>
    </w:p>
    <w:p>
      <w:pPr>
        <w:spacing w:before="18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业守法经营</w:t>
      </w:r>
    </w:p>
    <w:p>
      <w:pPr>
        <w:ind w:left="15" w:right="6" w:firstLine="629"/>
        <w:spacing w:before="194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聚焦关系群众生命健康安全的重点商品,贴近群众生活的重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</w:rPr>
        <w:t>点服务行业,以及农村与城乡结合部市场、制售假冒伪劣产品多</w:t>
      </w:r>
    </w:p>
    <w:p>
      <w:pPr>
        <w:sectPr>
          <w:pgSz w:w="12140" w:h="17000"/>
          <w:pgMar w:top="1445" w:right="1591" w:bottom="0" w:left="1704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before="104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发的重点区域,严厉打击销售未经检验检疫或检出“瘦肉精"的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肉类及药残超标的畜产品和水产品,宣称减肥和降糖降压降脂等功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17"/>
        </w:rPr>
        <w:t>能的食品中添加药品,中介机构、行业协会"乱收费",生产和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17"/>
          <w:w w:val="102"/>
        </w:rPr>
        <w:t>销售"偷工减料"劣质钢筋、线缆,"神医""神药"等虚假广告,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翻新液化气"黑气瓶",生产销售劣质儿童玩具,茶叶市场秩序专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2"/>
        </w:rPr>
        <w:t>项行动,生物医药行业9种违法违规行为,及时化解和防范市场风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险,营造安全放心的消费环境.</w:t>
      </w:r>
    </w:p>
    <w:p>
      <w:pPr>
        <w:ind w:firstLine="644"/>
        <w:spacing w:before="1" w:line="220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二十、加强宣教培训,深入开展清单服务</w:t>
      </w:r>
    </w:p>
    <w:p>
      <w:pPr>
        <w:ind w:right="36" w:firstLine="639"/>
        <w:spacing w:before="192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加强食品、药品、化妆品、医疗器械、重点工业产品等行业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及小微非公企业人员业务培训,采取多种宣传培训方式,宣传相关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法律法规和行业管理规范,提高企业法人和从业人员工作能力.组织邀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请科研机构、专业技术人才深入企业开展"点对点”培训,鼓励和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引导开展免费培训和清单服务。深入开展"质量提升培训服务上门"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活动,宣讲推广先进质量管理方法,强化企业质量意识,提高质量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管理水平,助力企业产品和服务质量提升.深入开展小微企业质量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管理体系认证提升行动,积极推行S09001等先进质量管理方法,鼓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励认证机构为小微企业提供咨询和认证服务。</w:t>
      </w:r>
    </w:p>
    <w:p>
      <w:pPr>
        <w:sectPr>
          <w:pgSz w:w="11980" w:h="16880"/>
          <w:pgMar w:top="1434" w:right="1345" w:bottom="0" w:left="1629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689605" cy="1909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9605" cy="1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0"/>
        <w:spacing w:before="184" w:line="219" w:lineRule="auto"/>
        <w:rPr>
          <w:rFonts w:ascii="YouYuan" w:hAnsi="YouYuan" w:eastAsia="YouYuan" w:cs="YouYua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  <w:position w:val="-1"/>
        </w:rPr>
        <w:t>潢川县市场监督管理局办公室</w:t>
      </w:r>
      <w:r>
        <w:rPr>
          <w:rFonts w:ascii="FangSong" w:hAnsi="FangSong" w:eastAsia="FangSong" w:cs="FangSong"/>
          <w:sz w:val="30"/>
          <w:szCs w:val="30"/>
          <w:spacing w:val="11"/>
          <w:position w:val="-1"/>
        </w:rPr>
        <w:t>           </w:t>
      </w:r>
      <w:r>
        <w:rPr>
          <w:rFonts w:ascii="YouYuan" w:hAnsi="YouYuan" w:eastAsia="YouYuan" w:cs="YouYuan"/>
          <w:sz w:val="30"/>
          <w:szCs w:val="30"/>
          <w:spacing w:val="6"/>
          <w:position w:val="1"/>
        </w:rPr>
        <w:t>2021年8月15日印发</w:t>
      </w:r>
    </w:p>
    <w:p>
      <w:pPr>
        <w:spacing w:line="39" w:lineRule="exact"/>
        <w:textAlignment w:val="center"/>
        <w:rPr/>
      </w:pPr>
      <w:r>
        <w:drawing>
          <wp:inline distT="0" distB="0" distL="0" distR="0">
            <wp:extent cx="5689605" cy="2537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89605" cy="2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30" w:h="17060"/>
      <w:pgMar w:top="1450" w:right="1739" w:bottom="0" w:left="153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2022-03-18T15:18:00</vt:filetime>
  </op:property>
</op:Properties>
</file>