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267"/>
        <w:spacing w:before="409" w:line="219" w:lineRule="auto"/>
        <w:rPr>
          <w:rFonts w:ascii="SimSun" w:hAnsi="SimSun" w:eastAsia="SimSun" w:cs="SimSun"/>
          <w:sz w:val="126"/>
          <w:szCs w:val="126"/>
        </w:rPr>
      </w:pPr>
      <w:r>
        <w:rPr>
          <w:rFonts w:ascii="SimSun" w:hAnsi="SimSun" w:eastAsia="SimSun" w:cs="SimSun"/>
          <w:sz w:val="126"/>
          <w:szCs w:val="126"/>
          <w:color w:val="E53516"/>
          <w14:textOutline w14:w="22885" w14:cap="flat" w14:cmpd="sng">
            <w14:solidFill>
              <w14:srgbClr w14:val="E53516"/>
            </w14:solidFill>
            <w14:prstDash w14:val="solid"/>
            <w14:miter w14:lim="10"/>
          </w14:textOutline>
          <w:spacing w:val="-79"/>
          <w:w w:val="63"/>
        </w:rPr>
        <w:t>潢川县市场监督管理局文件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2937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潢市监文〔2020〕</w:t>
      </w:r>
      <w:r>
        <w:rPr>
          <w:rFonts w:ascii="FangSong" w:hAnsi="FangSong" w:eastAsia="FangSong" w:cs="FangSong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6号</w:t>
      </w:r>
    </w:p>
    <w:p>
      <w:pPr>
        <w:ind w:firstLine="67"/>
        <w:spacing w:before="23" w:line="79" w:lineRule="exact"/>
        <w:textAlignment w:val="center"/>
        <w:rPr/>
      </w:pPr>
      <w:r>
        <w:drawing>
          <wp:inline distT="0" distB="0" distL="0" distR="0">
            <wp:extent cx="5689544" cy="5072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9544" cy="5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2283"/>
        <w:spacing w:before="14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潢川县市场监督管理局</w:t>
      </w:r>
    </w:p>
    <w:p>
      <w:pPr>
        <w:ind w:firstLine="283"/>
        <w:spacing w:before="116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关于印发《应对疫情影响服务全县经济社会</w:t>
      </w:r>
    </w:p>
    <w:p>
      <w:pPr>
        <w:ind w:firstLine="1393"/>
        <w:spacing w:before="120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</w:rPr>
        <w:t>平稳健康发展工作措施》的通知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67"/>
        <w:spacing w:before="10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机关各股室、局属各单位:</w:t>
      </w:r>
    </w:p>
    <w:p>
      <w:pPr>
        <w:ind w:left="67" w:right="166" w:firstLine="670"/>
        <w:spacing w:before="246" w:line="3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为认真落实县委、县政府及市市场监管局关于加强疫情防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控、推动企业复工达产、促进经济社会平稳健康发展的决策部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署,结合部门职能,特采取如下工作措施.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4557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3128938</wp:posOffset>
            </wp:positionH>
            <wp:positionV relativeFrom="paragraph">
              <wp:posOffset>-352861</wp:posOffset>
            </wp:positionV>
            <wp:extent cx="1498603" cy="148581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3" cy="148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3"/>
        </w:rPr>
        <w:t>潢川县市场监督管理局</w:t>
      </w:r>
    </w:p>
    <w:p>
      <w:pPr>
        <w:ind w:firstLine="4867"/>
        <w:spacing w:before="24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2020</w:t>
      </w:r>
      <w:r>
        <w:rPr>
          <w:rFonts w:ascii="FangSong" w:hAnsi="FangSong" w:eastAsia="FangSong" w:cs="FangSong"/>
          <w:sz w:val="32"/>
          <w:szCs w:val="32"/>
          <w:spacing w:val="-80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年</w:t>
      </w:r>
      <w:r>
        <w:rPr>
          <w:rFonts w:ascii="FangSong" w:hAnsi="FangSong" w:eastAsia="FangSong" w:cs="FangSong"/>
          <w:sz w:val="32"/>
          <w:szCs w:val="32"/>
          <w:spacing w:val="-94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3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月</w:t>
      </w:r>
      <w:r>
        <w:rPr>
          <w:rFonts w:ascii="FangSong" w:hAnsi="FangSong" w:eastAsia="FangSong" w:cs="FangSong"/>
          <w:sz w:val="32"/>
          <w:szCs w:val="32"/>
          <w:spacing w:val="-94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3</w:t>
      </w:r>
      <w:r>
        <w:rPr>
          <w:rFonts w:ascii="FangSong" w:hAnsi="FangSong" w:eastAsia="FangSong" w:cs="FangSong"/>
          <w:sz w:val="32"/>
          <w:szCs w:val="32"/>
          <w:spacing w:val="-23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日</w:t>
      </w:r>
    </w:p>
    <w:p>
      <w:pPr>
        <w:sectPr>
          <w:pgSz w:w="11950" w:h="16870"/>
          <w:pgMar w:top="1433" w:right="1130" w:bottom="0" w:left="1792" w:header="0" w:footer="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237" w:right="65" w:hanging="3210"/>
        <w:spacing w:before="143" w:line="27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应对疫情影响服务全县经济社会平稳健康发展</w:t>
      </w:r>
      <w:r>
        <w:rPr>
          <w:rFonts w:ascii="SimSun" w:hAnsi="SimSun" w:eastAsia="SimSun" w:cs="SimSun"/>
          <w:sz w:val="44"/>
          <w:szCs w:val="44"/>
          <w:spacing w:val="1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工</w:t>
      </w:r>
      <w:r>
        <w:rPr>
          <w:rFonts w:ascii="SimSun" w:hAnsi="SimSun" w:eastAsia="SimSun" w:cs="SimSun"/>
          <w:sz w:val="44"/>
          <w:szCs w:val="44"/>
          <w:spacing w:val="40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作</w:t>
      </w:r>
      <w:r>
        <w:rPr>
          <w:rFonts w:ascii="SimSun" w:hAnsi="SimSun" w:eastAsia="SimSun" w:cs="SimSun"/>
          <w:sz w:val="44"/>
          <w:szCs w:val="44"/>
          <w:spacing w:val="37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措</w:t>
      </w:r>
      <w:r>
        <w:rPr>
          <w:rFonts w:ascii="SimSun" w:hAnsi="SimSun" w:eastAsia="SimSun" w:cs="SimSun"/>
          <w:sz w:val="44"/>
          <w:szCs w:val="44"/>
          <w:spacing w:val="36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施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21" w:right="67" w:firstLine="644"/>
        <w:spacing w:before="104" w:line="3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1.全面推行"网上办,不见面"服务</w:t>
      </w:r>
      <w:r>
        <w:rPr>
          <w:rFonts w:ascii="FangSong" w:hAnsi="FangSong" w:eastAsia="FangSong" w:cs="FangSong"/>
          <w:sz w:val="32"/>
          <w:szCs w:val="32"/>
          <w:spacing w:val="11"/>
        </w:rPr>
        <w:t>。实施注册登记和行政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审批服务"网上办"、"掌上办"、"邮寄办"、"预约办"及“延期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办"等"五个办"服务。推行全天候电话咨询、企业档案查询等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服务,提升各类市场主体办事便利水平.</w:t>
      </w:r>
    </w:p>
    <w:p>
      <w:pPr>
        <w:ind w:firstLine="666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2.扶持中小企业创业园建设.</w:t>
      </w:r>
      <w:r>
        <w:rPr>
          <w:rFonts w:ascii="FangSong" w:hAnsi="FangSong" w:eastAsia="FangSong" w:cs="FangSong"/>
          <w:sz w:val="32"/>
          <w:szCs w:val="32"/>
          <w:spacing w:val="2"/>
        </w:rPr>
        <w:t>对工业园区、产业园区、工业</w:t>
      </w:r>
    </w:p>
    <w:p>
      <w:pPr>
        <w:ind w:left="191" w:hanging="170"/>
        <w:spacing w:before="265"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集中区、创业孵化基地等企业集聚场所提供集群注册服务,允许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"一址多照",进一步放宽市场主体住所(经营场所)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登记条件.</w:t>
      </w:r>
    </w:p>
    <w:p>
      <w:pPr>
        <w:ind w:left="21" w:right="38" w:firstLine="644"/>
        <w:spacing w:line="3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3.维持相关许可证有效期至疫情解除后60日内.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工业产品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生产许可证、食品经营许可证、计量标准考核证书、资质认定证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书有效期到期的顺延至疫情解除后60日内。暂停对受疫情影响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停产企业工业产品生产许可证证书实地性审查,延迟至疫情解除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13"/>
        </w:rPr>
        <w:t>后60日内.全面推行食品相关产品生产许可承诺制审批办理,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7"/>
        </w:rPr>
        <w:t>在疫情解除后60日内开展现场核查。部分资质认定事项实行免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审换证。</w:t>
      </w:r>
    </w:p>
    <w:p>
      <w:pPr>
        <w:ind w:left="21" w:right="41" w:firstLine="644"/>
        <w:spacing w:before="3" w:line="3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4.顺延特种设备许可换证期限.</w:t>
      </w:r>
      <w:r>
        <w:rPr>
          <w:rFonts w:ascii="FangSong" w:hAnsi="FangSong" w:eastAsia="FangSong" w:cs="FangSong"/>
          <w:sz w:val="32"/>
          <w:szCs w:val="32"/>
          <w:spacing w:val="1"/>
        </w:rPr>
        <w:t>特种设备生产许可证和瓶装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充气许可证换证申请期限顺延至疫情解除后90日内。特种设备</w:t>
      </w:r>
    </w:p>
    <w:p>
      <w:pPr>
        <w:sectPr>
          <w:footerReference w:type="default" r:id="rId3"/>
          <w:pgSz w:w="11990" w:h="16890"/>
          <w:pgMar w:top="1435" w:right="1276" w:bottom="1286" w:left="1798" w:header="0" w:footer="1150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作业人员证书到期的,复审期限延长至疫情解除后90日内.</w:t>
      </w:r>
    </w:p>
    <w:p>
      <w:pPr>
        <w:ind w:right="36" w:firstLine="660"/>
        <w:spacing w:before="250" w:line="37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5.开辟特种设备报检通道延长检验周期和电梯维保周期.开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辟网上报检、电话报检、微信报检、邮寄报检等报检通道。延长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医院等疫情防控相关单位特种设备的检验周期,对必须检验的设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备开辟绿色通道.对不能按期进行定期检验的特种设备,在疫情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解除后30日内申报定期检验。电梯维保可适当调整或延长现场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维保周期。</w:t>
      </w:r>
    </w:p>
    <w:p>
      <w:pPr>
        <w:ind w:right="28" w:firstLine="664"/>
        <w:spacing w:before="4" w:line="3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6.协调免减检验检测费用,</w:t>
      </w:r>
      <w:r>
        <w:rPr>
          <w:rFonts w:ascii="FangSong" w:hAnsi="FangSong" w:eastAsia="FangSong" w:cs="FangSong"/>
          <w:sz w:val="32"/>
          <w:szCs w:val="32"/>
          <w:spacing w:val="-13"/>
        </w:rPr>
        <w:t>.协调免收肥皂、洗手液、餐具(含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果蔬)</w:t>
      </w:r>
      <w:r>
        <w:rPr>
          <w:rFonts w:ascii="FangSong" w:hAnsi="FangSong" w:eastAsia="FangSong" w:cs="FangSong"/>
          <w:sz w:val="32"/>
          <w:szCs w:val="32"/>
          <w:spacing w:val="4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洗涤剂、湿巾、消毒液、乙醇等相关疫情防护用品检验费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用.对复工复产企业送检的非防疫物资,按原标准的60%收取费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用,免费寄递检验报告.协调省纺织院免收无纺布等疫情防护用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品检验费用。</w:t>
      </w:r>
    </w:p>
    <w:p>
      <w:pPr>
        <w:ind w:right="29" w:firstLine="664"/>
        <w:spacing w:before="4" w:line="3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7.推行多种网上年报方式,优化企业信用服务.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开通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App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和微信公众号,支持市场主体通过联络员登陆、电子营业执照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登录等方式进行年报.推行信用修复网上办理,实行包容审慎监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管。</w:t>
      </w:r>
    </w:p>
    <w:p>
      <w:pPr>
        <w:ind w:right="11" w:firstLine="664"/>
        <w:spacing w:before="2" w:line="3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8.实施急需医疗器械特殊管理.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实施医疗器械应急快速检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验、受理、审评、审批。允许使用初包装符合要求、说明书标识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信息完整、注明是否无菌的简易包装。允许企业申请非无菌医用</w:t>
      </w:r>
    </w:p>
    <w:p>
      <w:pPr>
        <w:sectPr>
          <w:footerReference w:type="default" r:id="rId4"/>
          <w:pgSz w:w="12010" w:h="16910"/>
          <w:pgMar w:top="1437" w:right="1801" w:bottom="1227" w:left="1369" w:header="0" w:footer="1189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5" w:right="168"/>
        <w:spacing w:before="104"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防护口罩、医用防护服,加快已具备无菌产品注册证企业申请增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加非无菌产品型号注册的审批。</w:t>
      </w:r>
    </w:p>
    <w:p>
      <w:pPr>
        <w:ind w:left="5" w:firstLine="654"/>
        <w:spacing w:before="6"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9.支持食品生产经营企业复工复产</w:t>
      </w:r>
      <w:r>
        <w:rPr>
          <w:rFonts w:ascii="FangSong" w:hAnsi="FangSong" w:eastAsia="FangSong" w:cs="FangSong"/>
          <w:sz w:val="32"/>
          <w:szCs w:val="32"/>
          <w:spacing w:val="7"/>
        </w:rPr>
        <w:t>督促企业认真落实安全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生产经营制度,做好复工前后的疫情防控,帮助经营者解决运输、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储存、配送等环节遇到的困难和问题,优先保障米、面、油、肉、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蛋、奶、菜、果等生活必需食品和婴幼儿配方食品的供应。鼓励</w:t>
      </w:r>
      <w:r>
        <w:rPr>
          <w:rFonts w:ascii="FangSong" w:hAnsi="FangSong" w:eastAsia="FangSong" w:cs="FangSong"/>
          <w:sz w:val="32"/>
          <w:szCs w:val="32"/>
          <w:spacing w:val="12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经营者在线下单、统一配送。</w:t>
      </w:r>
    </w:p>
    <w:p>
      <w:pPr>
        <w:ind w:left="5" w:right="133" w:firstLine="654"/>
        <w:spacing w:before="3" w:line="37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10.保障日常防护用品和消费品供应.</w:t>
      </w:r>
      <w:r>
        <w:rPr>
          <w:rFonts w:ascii="FangSong" w:hAnsi="FangSong" w:eastAsia="FangSong" w:cs="FangSong"/>
          <w:sz w:val="32"/>
          <w:szCs w:val="32"/>
          <w:spacing w:val="1"/>
        </w:rPr>
        <w:t>,对作为液体消毒剂原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材料的次氯酸钠、过氧乙酸、双氧水等危险化学品实施"一单一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书一报告"简易许可,协助企业完善资料,向市局申请、核发"临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时许可证",疫情结束后再完善相关手续.</w:t>
      </w:r>
    </w:p>
    <w:p>
      <w:pPr>
        <w:ind w:left="5" w:right="98" w:firstLine="654"/>
        <w:spacing w:before="4" w:line="3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11.严格市场价格监管.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持续开展涉企收费检查。加强生活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必需品及口罩、消毒液等防控物资生产、流通全链条价格监管。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</w:rPr>
        <w:t>加大对经营主体的提醒、告诫、约谈力度,全面护航企业复产增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产扩能。</w:t>
      </w:r>
    </w:p>
    <w:p>
      <w:pPr>
        <w:ind w:left="5" w:right="136" w:firstLine="654"/>
        <w:spacing w:before="5"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12.严打野生动物违规交易.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严格落实野生动物交易市场关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闭措施,严禁野生动物对外扩散和转运贩卖,全面清查野生动物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交易等违规信息.除捕捞水产品外,严禁全县范围内农(集)</w:t>
      </w:r>
      <w:r>
        <w:rPr>
          <w:rFonts w:ascii="FangSong" w:hAnsi="FangSong" w:eastAsia="FangSong" w:cs="FangSong"/>
          <w:sz w:val="32"/>
          <w:szCs w:val="32"/>
          <w:spacing w:val="-8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贸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市场、超市、餐饮单位、电商平台等经营场所开展任何形式的野</w:t>
      </w:r>
    </w:p>
    <w:p>
      <w:pPr>
        <w:sectPr>
          <w:footerReference w:type="default" r:id="rId5"/>
          <w:pgSz w:w="12030" w:h="16920"/>
          <w:pgMar w:top="1438" w:right="1229" w:bottom="1309" w:left="1804" w:header="0" w:footer="1188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生动物交易活动。</w:t>
      </w:r>
    </w:p>
    <w:p>
      <w:pPr>
        <w:ind w:right="55" w:firstLine="664"/>
        <w:spacing w:before="257" w:line="3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13.规范引导网络交易行为.</w:t>
      </w:r>
      <w:r>
        <w:rPr>
          <w:rFonts w:ascii="FangSong" w:hAnsi="FangSong" w:eastAsia="FangSong" w:cs="FangSong"/>
          <w:sz w:val="32"/>
          <w:szCs w:val="32"/>
          <w:spacing w:val="5"/>
        </w:rPr>
        <w:t>推行电商平台经营资格和交易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</w:rPr>
        <w:t>行为"观察期",实施包容审慎监管,支持电商企业规范健康发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展。</w:t>
      </w:r>
    </w:p>
    <w:p>
      <w:pPr>
        <w:ind w:right="24" w:firstLine="664"/>
        <w:spacing w:before="4" w:line="3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14.严查违法广告.</w:t>
      </w:r>
      <w:r>
        <w:rPr>
          <w:rFonts w:ascii="FangSong" w:hAnsi="FangSong" w:eastAsia="FangSong" w:cs="FangSong"/>
          <w:sz w:val="32"/>
          <w:szCs w:val="32"/>
          <w:spacing w:val="6"/>
        </w:rPr>
        <w:t>严禁发布虚假违法及妨碍社会公共秩序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和公序良俗的广告。严禁发布含有涉及"新型冠状病毒感染的肺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炎"预防、治疗、治愈、偏方”等内容的违法广告。严禁发布含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有涉及"野生动物及其制品出售、购买、转让"等内容的违法广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告。</w:t>
      </w:r>
    </w:p>
    <w:p>
      <w:pPr>
        <w:ind w:right="74" w:firstLine="664"/>
        <w:spacing w:before="1" w:line="3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15.严格执法稽查.</w:t>
      </w:r>
      <w:r>
        <w:rPr>
          <w:rFonts w:ascii="FangSong" w:hAnsi="FangSong" w:eastAsia="FangSong" w:cs="FangSong"/>
          <w:sz w:val="32"/>
          <w:szCs w:val="32"/>
          <w:spacing w:val="-9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加强反垄断执法和查处力度,加强执法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督导检查和行刑衔接,落实执法信息日报告制度,完善疫情防控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期间执法稽查工作机制。</w:t>
      </w:r>
    </w:p>
    <w:p>
      <w:pPr>
        <w:ind w:right="22" w:firstLine="664"/>
        <w:spacing w:before="4" w:line="3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16.加强消费维权.</w:t>
      </w:r>
      <w:r>
        <w:rPr>
          <w:rFonts w:ascii="FangSong" w:hAnsi="FangSong" w:eastAsia="FangSong" w:cs="FangSong"/>
          <w:sz w:val="32"/>
          <w:szCs w:val="32"/>
          <w:spacing w:val="11"/>
        </w:rPr>
        <w:t>坚持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12315热线24小值守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,</w:t>
      </w:r>
      <w:r>
        <w:rPr>
          <w:rFonts w:ascii="FangSong" w:hAnsi="FangSong" w:eastAsia="FangSong" w:cs="FangSong"/>
          <w:sz w:val="32"/>
          <w:szCs w:val="32"/>
          <w:spacing w:val="-91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畅通</w:t>
      </w:r>
      <w:r>
        <w:rPr>
          <w:rFonts w:ascii="FangSong" w:hAnsi="FangSong" w:eastAsia="FangSong" w:cs="FangSong"/>
          <w:sz w:val="32"/>
          <w:szCs w:val="32"/>
          <w:spacing w:val="-89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12315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网络平台、微信公众号、手机APP等渠道,做到投诉举报及时受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理、及时分流、及时办理、及时督办、及时回复、及时上报等"六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个及时",妥善化解消费争议.适时发布消费警示,公布典型案.</w:t>
      </w:r>
    </w:p>
    <w:p>
      <w:pPr>
        <w:ind w:right="35" w:firstLine="664"/>
        <w:spacing w:before="3" w:line="37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17.强化医用防护产品安全监管.</w:t>
      </w:r>
      <w:r>
        <w:rPr>
          <w:rFonts w:ascii="FangSong" w:hAnsi="FangSong" w:eastAsia="FangSong" w:cs="FangSong"/>
          <w:sz w:val="32"/>
          <w:szCs w:val="32"/>
          <w:spacing w:val="6"/>
        </w:rPr>
        <w:t>加强生产、流通、使用等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各环节资质、质量及流程控制检查、监测,严厉打击假冒合法企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业产品及非法制售假劣医疗器械、失效过期医疗器械行为,督促</w:t>
      </w:r>
    </w:p>
    <w:p>
      <w:pPr>
        <w:sectPr>
          <w:footerReference w:type="default" r:id="rId6"/>
          <w:pgSz w:w="12030" w:h="16920"/>
          <w:pgMar w:top="1438" w:right="1804" w:bottom="1393" w:left="1359" w:header="0" w:footer="1199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24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医疗使用单位落实使用前检查核对责任。</w:t>
      </w:r>
    </w:p>
    <w:p>
      <w:pPr>
        <w:ind w:left="24" w:right="129" w:firstLine="644"/>
        <w:spacing w:before="260"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18.强化食品安全监管.</w:t>
      </w:r>
      <w:r>
        <w:rPr>
          <w:rFonts w:ascii="FangSong" w:hAnsi="FangSong" w:eastAsia="FangSong" w:cs="FangSong"/>
          <w:sz w:val="32"/>
          <w:szCs w:val="32"/>
          <w:spacing w:val="9"/>
        </w:rPr>
        <w:t>严格落实食品安全企业主体责任,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对食品生产企业(食品小作坊)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实施全覆盖监督检查.加强对农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产品批发市场、农贸市场、商场超市等食品销售主体的监管。强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化餐饮经营管理,保障特殊时期食品安全.</w:t>
      </w:r>
    </w:p>
    <w:p>
      <w:pPr>
        <w:ind w:left="24" w:firstLine="644"/>
        <w:spacing w:before="3" w:line="37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</w:rPr>
        <w:t>19.强化日用防护产品等重要工业产品安全监管.</w:t>
      </w:r>
      <w:r>
        <w:rPr>
          <w:rFonts w:ascii="FangSong" w:hAnsi="FangSong" w:eastAsia="FangSong" w:cs="FangSong"/>
          <w:sz w:val="32"/>
          <w:szCs w:val="32"/>
        </w:rPr>
        <w:t>对洗手液、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次氯酸钠等日用防护产品及主要原材料实施全覆盖式监管,实施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“即抽即检"、"即检即报"、"即报即查",实行不合格后处理台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  <w:w w:val="102"/>
        </w:rPr>
        <w:t>账式管理.同时,加强质量技术帮扶.</w:t>
      </w:r>
    </w:p>
    <w:p>
      <w:pPr>
        <w:ind w:left="24" w:right="15" w:firstLine="644"/>
        <w:spacing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20.强化特种设备安全监管.</w:t>
      </w:r>
      <w:r>
        <w:rPr>
          <w:rFonts w:ascii="FangSong" w:hAnsi="FangSong" w:eastAsia="FangSong" w:cs="FangSong"/>
          <w:sz w:val="32"/>
          <w:szCs w:val="32"/>
          <w:spacing w:val="8"/>
        </w:rPr>
        <w:t>运用信息化手段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,</w:t>
      </w:r>
      <w:r>
        <w:rPr>
          <w:rFonts w:ascii="FangSong" w:hAnsi="FangSong" w:eastAsia="FangSong" w:cs="FangSong"/>
          <w:sz w:val="32"/>
          <w:szCs w:val="32"/>
          <w:spacing w:val="-95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重点加强疫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情防控场所电梯、锅炉、消毒灭菌锅、气瓶等特种设备维护保养。</w:t>
      </w:r>
    </w:p>
    <w:p>
      <w:pPr>
        <w:ind w:left="24" w:right="125" w:firstLine="644"/>
        <w:spacing w:before="1" w:line="3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21.支持企业提高标准化水平</w:t>
      </w:r>
      <w:r>
        <w:rPr>
          <w:rFonts w:ascii="FangSong" w:hAnsi="FangSong" w:eastAsia="FangSong" w:cs="FangSong"/>
          <w:sz w:val="32"/>
          <w:szCs w:val="32"/>
          <w:spacing w:val="1"/>
        </w:rPr>
        <w:t>。推行企业产品标准自我声明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公开制度,提供多渠道的标准制定、标准查询、商品条码等线上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办理和网上服务。积极开展相关标准技术解读。</w:t>
      </w:r>
    </w:p>
    <w:p>
      <w:pPr>
        <w:ind w:left="24" w:right="86" w:firstLine="644"/>
        <w:spacing w:before="1" w:line="3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22.简化计量检定校准服务.</w:t>
      </w:r>
      <w:r>
        <w:rPr>
          <w:rFonts w:ascii="FangSong" w:hAnsi="FangSong" w:eastAsia="FangSong" w:cs="FangSong"/>
          <w:sz w:val="32"/>
          <w:szCs w:val="32"/>
          <w:spacing w:val="11"/>
        </w:rPr>
        <w:t>开通绿色通道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,指定专人负责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急需计量器具的接收、流转、检定、校准。实施强制检定到期企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业申请自行核查,在疫情解除后30日内申请强制检定.</w:t>
      </w:r>
    </w:p>
    <w:p>
      <w:pPr>
        <w:ind w:left="24" w:right="131" w:firstLine="644"/>
        <w:spacing w:before="3" w:line="3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23.提供认证认可及检验检测便捷服务,</w:t>
      </w:r>
      <w:r>
        <w:rPr>
          <w:rFonts w:ascii="FangSong" w:hAnsi="FangSong" w:eastAsia="FangSong" w:cs="FangSong"/>
          <w:sz w:val="32"/>
          <w:szCs w:val="32"/>
          <w:spacing w:val="-6"/>
        </w:rPr>
        <w:t>。实施申请强制性产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品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3C认证免办业务的优先网上办理,允许容缺审批.对检验检</w:t>
      </w:r>
    </w:p>
    <w:p>
      <w:pPr>
        <w:sectPr>
          <w:footerReference w:type="default" r:id="rId7"/>
          <w:pgSz w:w="11970" w:h="16880"/>
          <w:pgMar w:top="1434" w:right="1184" w:bottom="1294" w:left="1795" w:header="0" w:footer="1158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right="41"/>
        <w:spacing w:before="104"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测机构申请的紧急扩项,开通绿色通道.多渠道公布省内检验检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测机构名单及联系方式。</w:t>
      </w:r>
    </w:p>
    <w:p>
      <w:pPr>
        <w:ind w:right="32" w:firstLine="644"/>
        <w:spacing w:before="2" w:line="3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24.推动企业质量品牌提升.</w:t>
      </w:r>
      <w:r>
        <w:rPr>
          <w:rFonts w:ascii="FangSong" w:hAnsi="FangSong" w:eastAsia="FangSong" w:cs="FangSong"/>
          <w:sz w:val="32"/>
          <w:szCs w:val="32"/>
          <w:spacing w:val="-7"/>
        </w:rPr>
        <w:t>支持、推动企业采用大数据、互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联网+、智能制造等方式,推广先进质量管理体系,支持企业质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量创新和品牌提升。</w:t>
      </w:r>
    </w:p>
    <w:p>
      <w:pPr>
        <w:ind w:firstLine="644"/>
        <w:spacing w:before="233" w:line="3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25.协调加快商标注册申请.</w:t>
      </w:r>
      <w:r>
        <w:rPr>
          <w:rFonts w:ascii="FangSong" w:hAnsi="FangSong" w:eastAsia="FangSong" w:cs="FangSong"/>
          <w:sz w:val="32"/>
          <w:szCs w:val="32"/>
          <w:spacing w:val="1"/>
        </w:rPr>
        <w:t>,优先指导、协调与疫情防控相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关类别的商标注册申请。加大对与疫情有关、易产生不良影响的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商标注册申请的管控力度。</w:t>
      </w:r>
    </w:p>
    <w:p>
      <w:pPr>
        <w:ind w:right="25" w:firstLine="644"/>
        <w:spacing w:before="230"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26.支持专利申请.</w:t>
      </w:r>
      <w:r>
        <w:rPr>
          <w:rFonts w:ascii="FangSong" w:hAnsi="FangSong" w:eastAsia="FangSong" w:cs="FangSong"/>
          <w:sz w:val="32"/>
          <w:szCs w:val="32"/>
          <w:spacing w:val="-23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支持复工复产企业和涉及疫情防控的专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利申请.支持、指导企业海外专利布局,协调加大重点企业国际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性</w:t>
      </w:r>
      <w:r>
        <w:rPr>
          <w:rFonts w:ascii="FangSong" w:hAnsi="FangSong" w:eastAsia="FangSong" w:cs="FangSong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PCT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专利申请资助力度。积极帮助企业申请专利收费减缴备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案。推动设立质押融资财政风险补偿资金。</w:t>
      </w:r>
    </w:p>
    <w:p>
      <w:pPr>
        <w:ind w:right="1" w:firstLine="644"/>
        <w:spacing w:before="5" w:line="3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27.助力中小企业融资.</w:t>
      </w:r>
      <w:r>
        <w:rPr>
          <w:rFonts w:ascii="FangSong" w:hAnsi="FangSong" w:eastAsia="FangSong" w:cs="FangSong"/>
          <w:sz w:val="32"/>
          <w:szCs w:val="32"/>
          <w:spacing w:val="1"/>
        </w:rPr>
        <w:t>,充分发挥动产抵押、股权质押融资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平台作用,为企业提供统一、便捷、高效的融资服务,助力资金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短缺停产的企业尽早复产。</w:t>
      </w:r>
    </w:p>
    <w:p>
      <w:pPr>
        <w:ind w:right="17" w:firstLine="644"/>
        <w:spacing w:before="1" w:line="3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28.优化中小微企业发展平台.</w:t>
      </w:r>
      <w:r>
        <w:rPr>
          <w:rFonts w:ascii="FangSong" w:hAnsi="FangSong" w:eastAsia="FangSong" w:cs="FangSong"/>
          <w:sz w:val="32"/>
          <w:szCs w:val="32"/>
          <w:spacing w:val="9"/>
        </w:rPr>
        <w:t>搭建政银平台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,开展银企合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作,引导金融机构加大对中小微企业、民营企业等重点领域信贷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支持力度。及时在小微企业名录平台展示和发布中央、省、市支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持民营经济发展的政策举措。</w:t>
      </w:r>
    </w:p>
    <w:p>
      <w:pPr>
        <w:sectPr>
          <w:footerReference w:type="default" r:id="rId8"/>
          <w:pgSz w:w="11970" w:h="16880"/>
          <w:pgMar w:top="1434" w:right="1785" w:bottom="400" w:left="1349" w:header="0" w:footer="0" w:gutter="0"/>
        </w:sectPr>
        <w:rPr/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38" w:right="47" w:firstLine="644"/>
        <w:spacing w:before="104" w:line="3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29.维护企业不可抗力权益.</w:t>
      </w:r>
      <w:r>
        <w:rPr>
          <w:rFonts w:ascii="FangSong" w:hAnsi="FangSong" w:eastAsia="FangSong" w:cs="FangSong"/>
          <w:sz w:val="32"/>
          <w:szCs w:val="32"/>
          <w:spacing w:val="8"/>
        </w:rPr>
        <w:t>认真受理企业维权方面诉求,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</w:rPr>
        <w:t>受疫情影响导致无法如期履行或不能履行合同的,积极帮助企业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向有关部门办理与不可抗力相关的证明,帮助企业与大型平台、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上游大中企业进行沟通协调。</w:t>
      </w:r>
    </w:p>
    <w:p>
      <w:pPr>
        <w:ind w:left="38" w:firstLine="664"/>
        <w:spacing w:before="4" w:line="3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30.坚持党建助推企业发展.</w:t>
      </w:r>
      <w:r>
        <w:rPr>
          <w:rFonts w:ascii="FangSong" w:hAnsi="FangSong" w:eastAsia="FangSong" w:cs="FangSong"/>
          <w:sz w:val="32"/>
          <w:szCs w:val="32"/>
          <w:spacing w:val="8"/>
        </w:rPr>
        <w:t>充分发挥非公经济组织党建作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用,引导非公经济组织抓好自身疫情防控、有序组织复工复产、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  <w:w w:val="101"/>
        </w:rPr>
        <w:t>积极履行社会责任,坚决"听党话、跟党走",全力打赢疫情防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控阻击战。充分发挥各类非公经济党组织战斗堡垒作用和共产党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员先锋模范作用,尽快实现复工复产、扩能达产、高质量发展.</w:t>
      </w:r>
    </w:p>
    <w:p>
      <w:pPr>
        <w:sectPr>
          <w:footerReference w:type="default" r:id="rId9"/>
          <w:pgSz w:w="12010" w:h="16910"/>
          <w:pgMar w:top="1437" w:right="1282" w:bottom="1277" w:left="1801" w:header="0" w:footer="116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40" w:lineRule="exact"/>
        <w:textAlignment w:val="center"/>
        <w:rPr/>
      </w:pPr>
      <w:r>
        <w:drawing>
          <wp:inline distT="0" distB="0" distL="0" distR="0">
            <wp:extent cx="5645163" cy="25417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163" cy="2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9"/>
        <w:spacing w:before="230" w:line="2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u w:val="single" w:color="auto"/>
          <w:spacing w:val="-23"/>
          <w:position w:val="1"/>
        </w:rPr>
        <w:t>潢川县市场监督管理局办公室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7"/>
          <w:position w:val="1"/>
        </w:rPr>
        <w:t>                </w:t>
      </w:r>
      <w:r>
        <w:rPr>
          <w:rFonts w:ascii="FangSong" w:hAnsi="FangSong" w:eastAsia="FangSong" w:cs="FangSong"/>
          <w:sz w:val="32"/>
          <w:szCs w:val="32"/>
          <w:u w:val="single" w:color="auto"/>
          <w:spacing w:val="-23"/>
          <w:position w:val="-2"/>
        </w:rPr>
        <w:t>2020年3月3日印发</w:t>
      </w:r>
    </w:p>
    <w:sectPr>
      <w:footerReference w:type="default" r:id="rId10"/>
      <w:pgSz w:w="11900" w:h="16830"/>
      <w:pgMar w:top="1430" w:right="1785" w:bottom="1320" w:left="1209" w:header="0" w:footer="1183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01"/>
      <w:spacing w:line="135" w:lineRule="exact"/>
      <w:rPr>
        <w:rFonts w:ascii="FangSong" w:hAnsi="FangSong" w:eastAsia="FangSong" w:cs="FangSong"/>
        <w:sz w:val="20"/>
        <w:szCs w:val="20"/>
      </w:rPr>
    </w:pPr>
    <w:r>
      <w:rPr>
        <w:rFonts w:ascii="FangSong" w:hAnsi="FangSong" w:eastAsia="FangSong" w:cs="FangSong"/>
        <w:sz w:val="20"/>
        <w:szCs w:val="20"/>
        <w:position w:val="-3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7" w:lineRule="exact"/>
      <w:rPr>
        <w:rFonts w:ascii="Arial"/>
        <w:sz w:val="3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3646624</wp:posOffset>
              </wp:positionH>
              <wp:positionV relativeFrom="page">
                <wp:posOffset>9924684</wp:posOffset>
              </wp:positionV>
              <wp:extent cx="49530" cy="91439"/>
              <wp:effectExtent l="0" t="0" r="0" b="0"/>
              <wp:wrapNone/>
              <wp:docPr id="3" name="TextBox 3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3646624" y="9924684"/>
                        <a:ext cx="49530" cy="91439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20"/>
                            <w:spacing w:before="19" w:line="183" w:lineRule="auto"/>
                            <w:rPr>
                              <w:rFonts w:ascii="SimSun" w:hAnsi="SimSun" w:eastAsia="SimSun" w:cs="SimSun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8"/>
                              <w:szCs w:val="8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" style="position:absolute;margin-left:287.136pt;margin-top:781.471pt;mso-position-vertical-relative:page;mso-position-horizontal-relative:page;width:3.9pt;height:7.2pt;z-index:251658240;rotation:270;" o:allowincell="f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3" w:lineRule="auto"/>
                      <w:rPr>
                        <w:rFonts w:ascii="SimSun" w:hAnsi="SimSun" w:eastAsia="SimSun" w:cs="SimSun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8"/>
                        <w:szCs w:val="8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85"/>
      <w:spacing w:line="121" w:lineRule="exact"/>
      <w:rPr>
        <w:rFonts w:ascii="FangSong" w:hAnsi="FangSong" w:eastAsia="FangSong" w:cs="FangSong"/>
        <w:sz w:val="18"/>
        <w:szCs w:val="18"/>
      </w:rPr>
    </w:pPr>
    <w:r>
      <w:rPr>
        <w:rFonts w:ascii="FangSong" w:hAnsi="FangSong" w:eastAsia="FangSong" w:cs="FangSong"/>
        <w:sz w:val="18"/>
        <w:szCs w:val="18"/>
        <w:position w:val="-2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rPr>
        <w:rFonts w:ascii="Arial"/>
        <w:sz w:val="16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page">
                <wp:posOffset>3583408</wp:posOffset>
              </wp:positionH>
              <wp:positionV relativeFrom="page">
                <wp:posOffset>9872620</wp:posOffset>
              </wp:positionV>
              <wp:extent cx="148589" cy="96519"/>
              <wp:effectExtent l="0" t="0" r="0" b="0"/>
              <wp:wrapNone/>
              <wp:docPr id="4" name="TextBox 4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3583408" y="9872620"/>
                        <a:ext cx="148589" cy="96519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20"/>
                            <w:spacing w:before="19" w:line="221" w:lineRule="auto"/>
                            <w:rPr>
                              <w:rFonts w:ascii="SimSun" w:hAnsi="SimSun" w:eastAsia="SimSun" w:cs="SimSun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8"/>
                              <w:szCs w:val="8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SimSun" w:hAnsi="SimSun" w:eastAsia="SimSun" w:cs="SimSun"/>
                              <w:sz w:val="8"/>
                              <w:szCs w:val="8"/>
                              <w:spacing w:val="40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8"/>
                              <w:szCs w:val="8"/>
                              <w:spacing w:val="-2"/>
                            </w:rPr>
                            <w:t>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2" style="position:absolute;margin-left:282.158pt;margin-top:777.372pt;mso-position-vertical-relative:page;mso-position-horizontal-relative:page;width:11.7pt;height:7.6pt;z-index:251660288;rotation:270;" o:allowincell="f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221" w:lineRule="auto"/>
                      <w:rPr>
                        <w:rFonts w:ascii="SimSun" w:hAnsi="SimSun" w:eastAsia="SimSun" w:cs="SimSun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2"/>
                      </w:rPr>
                      <w:t>L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40"/>
                        <w:w w:val="101"/>
                      </w:rPr>
                      <w:t> 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2"/>
                      </w:rPr>
                      <w:t>脑</w:t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04"/>
      <w:spacing w:line="136" w:lineRule="exact"/>
      <w:rPr>
        <w:rFonts w:ascii="FangSong" w:hAnsi="FangSong" w:eastAsia="FangSong" w:cs="FangSong"/>
        <w:sz w:val="20"/>
        <w:szCs w:val="20"/>
      </w:rPr>
    </w:pPr>
    <w:r>
      <w:rPr>
        <w:rFonts w:ascii="FangSong" w:hAnsi="FangSong" w:eastAsia="FangSong" w:cs="FangSong"/>
        <w:sz w:val="20"/>
        <w:szCs w:val="20"/>
        <w:position w:val="-3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18"/>
      <w:spacing w:line="109" w:lineRule="exact"/>
      <w:rPr>
        <w:rFonts w:ascii="FangSong" w:hAnsi="FangSong" w:eastAsia="FangSong" w:cs="FangSong"/>
        <w:sz w:val="16"/>
        <w:szCs w:val="16"/>
      </w:rPr>
    </w:pPr>
    <w:r>
      <w:rPr>
        <w:rFonts w:ascii="FangSong" w:hAnsi="FangSong" w:eastAsia="FangSong" w:cs="FangSong"/>
        <w:sz w:val="16"/>
        <w:szCs w:val="16"/>
        <w:position w:val="-2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00"/>
      <w:spacing w:line="136" w:lineRule="exact"/>
      <w:rPr>
        <w:rFonts w:ascii="FangSong" w:hAnsi="FangSong" w:eastAsia="FangSong" w:cs="FangSong"/>
        <w:sz w:val="20"/>
        <w:szCs w:val="20"/>
      </w:rPr>
    </w:pPr>
    <w:r>
      <w:rPr>
        <w:rFonts w:ascii="FangSong" w:hAnsi="FangSong" w:eastAsia="FangSong" w:cs="FangSong"/>
        <w:sz w:val="20"/>
        <w:szCs w:val="20"/>
        <w:position w:val="-3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3.png"/><Relationship Id="rId10" Type="http://schemas.openxmlformats.org/officeDocument/2006/relationships/footer" Target="footer8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2022-03-18T15:14:18</vt:filetime>
  </op:property>
</op:Properties>
</file>