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val="0"/>
        <w:autoSpaceDN/>
        <w:bidi w:val="0"/>
        <w:adjustRightInd/>
        <w:snapToGrid/>
        <w:spacing w:line="600" w:lineRule="exact"/>
        <w:jc w:val="center"/>
        <w:textAlignment w:val="auto"/>
        <w:rPr>
          <w:rFonts w:hint="eastAsia" w:ascii="新宋体" w:hAnsi="新宋体" w:eastAsia="新宋体" w:cs="新宋体"/>
          <w:b/>
          <w:bCs/>
          <w:i w:val="0"/>
          <w:iCs w:val="0"/>
          <w:caps w:val="0"/>
          <w:color w:val="343434"/>
          <w:spacing w:val="0"/>
          <w:sz w:val="44"/>
          <w:szCs w:val="44"/>
          <w:shd w:val="clear" w:fill="FFFFFF"/>
        </w:rPr>
      </w:pPr>
      <w:bookmarkStart w:id="0" w:name="_GoBack"/>
      <w:bookmarkEnd w:id="0"/>
      <w:r>
        <w:rPr>
          <w:rFonts w:hint="eastAsia" w:ascii="新宋体" w:hAnsi="新宋体" w:eastAsia="新宋体" w:cs="新宋体"/>
          <w:b/>
          <w:bCs/>
          <w:i w:val="0"/>
          <w:iCs w:val="0"/>
          <w:caps w:val="0"/>
          <w:color w:val="343434"/>
          <w:spacing w:val="0"/>
          <w:sz w:val="44"/>
          <w:szCs w:val="44"/>
          <w:shd w:val="clear" w:fill="FFFFFF"/>
        </w:rPr>
        <w:t>关于印发《</w:t>
      </w:r>
      <w:r>
        <w:rPr>
          <w:rFonts w:hint="eastAsia" w:ascii="新宋体" w:hAnsi="新宋体" w:eastAsia="新宋体" w:cs="新宋体"/>
          <w:b/>
          <w:bCs/>
          <w:i w:val="0"/>
          <w:iCs w:val="0"/>
          <w:caps w:val="0"/>
          <w:color w:val="343434"/>
          <w:spacing w:val="0"/>
          <w:sz w:val="44"/>
          <w:szCs w:val="44"/>
          <w:shd w:val="clear" w:fill="FFFFFF"/>
          <w:lang w:eastAsia="zh-CN"/>
        </w:rPr>
        <w:t>潢川</w:t>
      </w:r>
      <w:r>
        <w:rPr>
          <w:rFonts w:hint="eastAsia" w:ascii="新宋体" w:hAnsi="新宋体" w:eastAsia="新宋体" w:cs="新宋体"/>
          <w:b/>
          <w:bCs/>
          <w:i w:val="0"/>
          <w:iCs w:val="0"/>
          <w:caps w:val="0"/>
          <w:color w:val="343434"/>
          <w:spacing w:val="0"/>
          <w:sz w:val="44"/>
          <w:szCs w:val="44"/>
          <w:shd w:val="clear" w:fill="FFFFFF"/>
        </w:rPr>
        <w:t>县文化</w:t>
      </w:r>
      <w:r>
        <w:rPr>
          <w:rFonts w:hint="eastAsia" w:ascii="新宋体" w:hAnsi="新宋体" w:eastAsia="新宋体" w:cs="新宋体"/>
          <w:b/>
          <w:bCs/>
          <w:i w:val="0"/>
          <w:iCs w:val="0"/>
          <w:caps w:val="0"/>
          <w:color w:val="343434"/>
          <w:spacing w:val="0"/>
          <w:sz w:val="44"/>
          <w:szCs w:val="44"/>
          <w:shd w:val="clear" w:fill="FFFFFF"/>
          <w:lang w:eastAsia="zh-CN"/>
        </w:rPr>
        <w:t>广电</w:t>
      </w:r>
      <w:r>
        <w:rPr>
          <w:rFonts w:hint="eastAsia" w:ascii="新宋体" w:hAnsi="新宋体" w:eastAsia="新宋体" w:cs="新宋体"/>
          <w:b/>
          <w:bCs/>
          <w:i w:val="0"/>
          <w:iCs w:val="0"/>
          <w:caps w:val="0"/>
          <w:color w:val="343434"/>
          <w:spacing w:val="0"/>
          <w:sz w:val="44"/>
          <w:szCs w:val="44"/>
          <w:shd w:val="clear" w:fill="FFFFFF"/>
        </w:rPr>
        <w:t>和旅游市场信用</w:t>
      </w:r>
    </w:p>
    <w:p>
      <w:pPr>
        <w:keepNext/>
        <w:keepLines/>
        <w:pageBreakBefore w:val="0"/>
        <w:widowControl w:val="0"/>
        <w:kinsoku/>
        <w:wordWrap/>
        <w:overflowPunct/>
        <w:topLinePunct w:val="0"/>
        <w:autoSpaceDE w:val="0"/>
        <w:autoSpaceDN/>
        <w:bidi w:val="0"/>
        <w:adjustRightInd/>
        <w:snapToGrid/>
        <w:spacing w:line="600" w:lineRule="exact"/>
        <w:jc w:val="center"/>
        <w:textAlignment w:val="auto"/>
        <w:rPr>
          <w:rFonts w:hint="eastAsia" w:ascii="新宋体" w:hAnsi="新宋体" w:eastAsia="新宋体" w:cs="新宋体"/>
          <w:b/>
          <w:bCs/>
          <w:i w:val="0"/>
          <w:iCs w:val="0"/>
          <w:caps w:val="0"/>
          <w:color w:val="343434"/>
          <w:spacing w:val="0"/>
          <w:sz w:val="44"/>
          <w:szCs w:val="44"/>
          <w:shd w:val="clear" w:fill="FFFFFF"/>
        </w:rPr>
      </w:pPr>
      <w:r>
        <w:rPr>
          <w:rFonts w:hint="eastAsia" w:ascii="新宋体" w:hAnsi="新宋体" w:eastAsia="新宋体" w:cs="新宋体"/>
          <w:b/>
          <w:bCs/>
          <w:i w:val="0"/>
          <w:iCs w:val="0"/>
          <w:caps w:val="0"/>
          <w:color w:val="343434"/>
          <w:spacing w:val="0"/>
          <w:sz w:val="44"/>
          <w:szCs w:val="44"/>
          <w:shd w:val="clear" w:fill="FFFFFF"/>
        </w:rPr>
        <w:t>监管分级分类制度</w:t>
      </w:r>
      <w:r>
        <w:rPr>
          <w:rFonts w:hint="eastAsia" w:ascii="新宋体" w:hAnsi="新宋体" w:eastAsia="新宋体" w:cs="新宋体"/>
          <w:b/>
          <w:bCs/>
          <w:i w:val="0"/>
          <w:iCs w:val="0"/>
          <w:caps w:val="0"/>
          <w:color w:val="343434"/>
          <w:spacing w:val="0"/>
          <w:sz w:val="44"/>
          <w:szCs w:val="44"/>
          <w:shd w:val="clear" w:fill="FFFFFF"/>
          <w:lang w:eastAsia="zh-CN"/>
        </w:rPr>
        <w:t>（试行）</w:t>
      </w:r>
      <w:r>
        <w:rPr>
          <w:rFonts w:hint="eastAsia" w:ascii="新宋体" w:hAnsi="新宋体" w:eastAsia="新宋体" w:cs="新宋体"/>
          <w:b/>
          <w:bCs/>
          <w:i w:val="0"/>
          <w:iCs w:val="0"/>
          <w:caps w:val="0"/>
          <w:color w:val="343434"/>
          <w:spacing w:val="0"/>
          <w:sz w:val="44"/>
          <w:szCs w:val="44"/>
          <w:shd w:val="clear" w:fill="FFFFFF"/>
        </w:rPr>
        <w:t>》的通知</w:t>
      </w:r>
    </w:p>
    <w:p>
      <w:pPr>
        <w:keepNext/>
        <w:keepLines/>
        <w:pageBreakBefore w:val="0"/>
        <w:widowControl w:val="0"/>
        <w:kinsoku/>
        <w:wordWrap/>
        <w:overflowPunct/>
        <w:topLinePunct w:val="0"/>
        <w:autoSpaceDE w:val="0"/>
        <w:autoSpaceDN/>
        <w:bidi w:val="0"/>
        <w:adjustRightInd/>
        <w:snapToGrid/>
        <w:spacing w:line="600" w:lineRule="exact"/>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p>
    <w:p>
      <w:pPr>
        <w:keepNext/>
        <w:keepLines/>
        <w:pageBreakBefore w:val="0"/>
        <w:widowControl w:val="0"/>
        <w:kinsoku/>
        <w:wordWrap/>
        <w:overflowPunct/>
        <w:topLinePunct w:val="0"/>
        <w:autoSpaceDE w:val="0"/>
        <w:autoSpaceDN/>
        <w:bidi w:val="0"/>
        <w:adjustRightInd/>
        <w:snapToGrid/>
        <w:spacing w:line="600" w:lineRule="exact"/>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县文化市场综合行政执法大队，机关各股室:</w:t>
      </w:r>
    </w:p>
    <w:p>
      <w:pPr>
        <w:keepNext/>
        <w:keepLines/>
        <w:pageBreakBefore w:val="0"/>
        <w:widowControl w:val="0"/>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为继续深化“放管服”改革，加快政府职能转变，创新市场监管理念和方式，加强事中事后监管，贯彻落实“信用+监管”机制，我局制定了《潢川县文化广电和旅游市场信用监管分级分类制度（试行）》，现予以印发，请遵照执行。</w:t>
      </w:r>
    </w:p>
    <w:p>
      <w:pPr>
        <w:keepNext/>
        <w:keepLines/>
        <w:pageBreakBefore w:val="0"/>
        <w:widowControl w:val="0"/>
        <w:kinsoku/>
        <w:wordWrap/>
        <w:overflowPunct/>
        <w:topLinePunct w:val="0"/>
        <w:autoSpaceDE w:val="0"/>
        <w:autoSpaceDN/>
        <w:bidi w:val="0"/>
        <w:adjustRightInd/>
        <w:snapToGrid/>
        <w:spacing w:line="600" w:lineRule="exact"/>
        <w:ind w:firstLine="64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p>
    <w:p>
      <w:pPr>
        <w:keepNext/>
        <w:keepLines/>
        <w:pageBreakBefore w:val="0"/>
        <w:widowControl w:val="0"/>
        <w:kinsoku/>
        <w:wordWrap/>
        <w:overflowPunct/>
        <w:topLinePunct w:val="0"/>
        <w:autoSpaceDE w:val="0"/>
        <w:autoSpaceDN/>
        <w:bidi w:val="0"/>
        <w:adjustRightInd/>
        <w:snapToGrid/>
        <w:spacing w:line="600" w:lineRule="exact"/>
        <w:ind w:firstLine="64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p>
    <w:p>
      <w:pPr>
        <w:keepNext/>
        <w:keepLines/>
        <w:pageBreakBefore w:val="0"/>
        <w:widowControl w:val="0"/>
        <w:kinsoku/>
        <w:wordWrap/>
        <w:overflowPunct/>
        <w:topLinePunct w:val="0"/>
        <w:autoSpaceDE w:val="0"/>
        <w:autoSpaceDN/>
        <w:bidi w:val="0"/>
        <w:adjustRightInd/>
        <w:snapToGrid/>
        <w:spacing w:line="600" w:lineRule="exact"/>
        <w:ind w:firstLine="64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p>
    <w:p>
      <w:pPr>
        <w:keepNext/>
        <w:keepLines/>
        <w:pageBreakBefore w:val="0"/>
        <w:widowControl w:val="0"/>
        <w:kinsoku/>
        <w:wordWrap/>
        <w:overflowPunct/>
        <w:topLinePunct w:val="0"/>
        <w:autoSpaceDE w:val="0"/>
        <w:autoSpaceDN/>
        <w:bidi w:val="0"/>
        <w:adjustRightInd/>
        <w:snapToGrid/>
        <w:spacing w:line="600" w:lineRule="exact"/>
        <w:ind w:firstLine="4480" w:firstLineChars="14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潢川县文化广电和旅游局</w:t>
      </w:r>
    </w:p>
    <w:p>
      <w:pPr>
        <w:keepNext/>
        <w:keepLines/>
        <w:pageBreakBefore w:val="0"/>
        <w:widowControl w:val="0"/>
        <w:kinsoku/>
        <w:wordWrap/>
        <w:overflowPunct/>
        <w:topLinePunct w:val="0"/>
        <w:autoSpaceDE w:val="0"/>
        <w:autoSpaceDN/>
        <w:bidi w:val="0"/>
        <w:adjustRightInd/>
        <w:snapToGrid/>
        <w:spacing w:line="600" w:lineRule="exact"/>
        <w:ind w:firstLine="5120" w:firstLineChars="16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2021年5月9日</w:t>
      </w:r>
    </w:p>
    <w:p>
      <w:pPr>
        <w:keepNext/>
        <w:keepLines/>
        <w:pageBreakBefore w:val="0"/>
        <w:widowControl w:val="0"/>
        <w:kinsoku/>
        <w:wordWrap/>
        <w:overflowPunct/>
        <w:topLinePunct w:val="0"/>
        <w:autoSpaceDE w:val="0"/>
        <w:autoSpaceDN/>
        <w:bidi w:val="0"/>
        <w:adjustRightInd/>
        <w:snapToGrid/>
        <w:spacing w:line="600" w:lineRule="exact"/>
        <w:ind w:firstLine="5120" w:firstLineChars="16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p>
    <w:p>
      <w:pPr>
        <w:keepNext/>
        <w:keepLines/>
        <w:pageBreakBefore w:val="0"/>
        <w:widowControl w:val="0"/>
        <w:kinsoku/>
        <w:wordWrap/>
        <w:overflowPunct/>
        <w:topLinePunct w:val="0"/>
        <w:autoSpaceDE w:val="0"/>
        <w:autoSpaceDN/>
        <w:bidi w:val="0"/>
        <w:adjustRightInd/>
        <w:snapToGrid/>
        <w:spacing w:line="600" w:lineRule="exact"/>
        <w:ind w:firstLine="5120" w:firstLineChars="16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p>
    <w:p>
      <w:pPr>
        <w:keepNext/>
        <w:keepLines/>
        <w:pageBreakBefore w:val="0"/>
        <w:widowControl w:val="0"/>
        <w:kinsoku/>
        <w:wordWrap/>
        <w:overflowPunct/>
        <w:topLinePunct w:val="0"/>
        <w:autoSpaceDE w:val="0"/>
        <w:autoSpaceDN/>
        <w:bidi w:val="0"/>
        <w:adjustRightInd/>
        <w:snapToGrid/>
        <w:spacing w:line="600" w:lineRule="exact"/>
        <w:ind w:firstLine="5120" w:firstLineChars="16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p>
    <w:p>
      <w:pPr>
        <w:keepNext/>
        <w:keepLines/>
        <w:pageBreakBefore w:val="0"/>
        <w:widowControl w:val="0"/>
        <w:kinsoku/>
        <w:wordWrap/>
        <w:overflowPunct/>
        <w:topLinePunct w:val="0"/>
        <w:autoSpaceDE w:val="0"/>
        <w:autoSpaceDN/>
        <w:bidi w:val="0"/>
        <w:adjustRightInd/>
        <w:snapToGrid/>
        <w:spacing w:line="600" w:lineRule="exact"/>
        <w:ind w:firstLine="5120" w:firstLineChars="16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p>
    <w:p>
      <w:pPr>
        <w:keepNext/>
        <w:keepLines/>
        <w:pageBreakBefore w:val="0"/>
        <w:widowControl w:val="0"/>
        <w:kinsoku/>
        <w:wordWrap/>
        <w:overflowPunct/>
        <w:topLinePunct w:val="0"/>
        <w:autoSpaceDE w:val="0"/>
        <w:autoSpaceDN/>
        <w:bidi w:val="0"/>
        <w:adjustRightInd/>
        <w:snapToGrid/>
        <w:spacing w:line="600" w:lineRule="exact"/>
        <w:ind w:firstLine="5120" w:firstLineChars="16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p>
    <w:p>
      <w:pPr>
        <w:keepNext/>
        <w:keepLines/>
        <w:pageBreakBefore w:val="0"/>
        <w:widowControl w:val="0"/>
        <w:kinsoku/>
        <w:wordWrap/>
        <w:overflowPunct/>
        <w:topLinePunct w:val="0"/>
        <w:autoSpaceDE w:val="0"/>
        <w:autoSpaceDN/>
        <w:bidi w:val="0"/>
        <w:adjustRightInd/>
        <w:snapToGrid/>
        <w:spacing w:line="600" w:lineRule="exact"/>
        <w:ind w:firstLine="5120" w:firstLineChars="16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p>
    <w:p>
      <w:pPr>
        <w:keepNext/>
        <w:keepLines/>
        <w:pageBreakBefore w:val="0"/>
        <w:widowControl w:val="0"/>
        <w:kinsoku/>
        <w:wordWrap/>
        <w:overflowPunct/>
        <w:topLinePunct w:val="0"/>
        <w:autoSpaceDE w:val="0"/>
        <w:autoSpaceDN/>
        <w:bidi w:val="0"/>
        <w:adjustRightInd/>
        <w:snapToGrid/>
        <w:spacing w:line="600" w:lineRule="exact"/>
        <w:ind w:firstLine="5120" w:firstLineChars="16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p>
    <w:p>
      <w:pPr>
        <w:keepNext/>
        <w:keepLines/>
        <w:pageBreakBefore w:val="0"/>
        <w:widowControl w:val="0"/>
        <w:kinsoku/>
        <w:wordWrap/>
        <w:overflowPunct/>
        <w:topLinePunct w:val="0"/>
        <w:autoSpaceDE w:val="0"/>
        <w:autoSpaceDN/>
        <w:bidi w:val="0"/>
        <w:adjustRightInd/>
        <w:snapToGrid/>
        <w:spacing w:line="600" w:lineRule="exact"/>
        <w:ind w:firstLine="5120" w:firstLineChars="1600"/>
        <w:jc w:val="both"/>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p>
    <w:p>
      <w:pPr>
        <w:keepNext/>
        <w:keepLines/>
        <w:pageBreakBefore w:val="0"/>
        <w:widowControl w:val="0"/>
        <w:kinsoku/>
        <w:wordWrap/>
        <w:overflowPunct/>
        <w:topLinePunct w:val="0"/>
        <w:autoSpaceDE w:val="0"/>
        <w:autoSpaceDN/>
        <w:bidi w:val="0"/>
        <w:adjustRightInd/>
        <w:snapToGrid/>
        <w:spacing w:line="600" w:lineRule="exact"/>
        <w:jc w:val="both"/>
        <w:textAlignment w:val="auto"/>
        <w:rPr>
          <w:rFonts w:hint="eastAsia" w:ascii="新宋体" w:hAnsi="新宋体" w:eastAsia="新宋体" w:cs="新宋体"/>
          <w:b/>
          <w:bCs/>
          <w:i w:val="0"/>
          <w:iCs w:val="0"/>
          <w:caps w:val="0"/>
          <w:color w:val="343434"/>
          <w:spacing w:val="0"/>
          <w:sz w:val="44"/>
          <w:szCs w:val="44"/>
          <w:shd w:val="clear" w:fill="FFFFFF"/>
          <w:lang w:eastAsia="zh-CN"/>
        </w:rPr>
      </w:pPr>
    </w:p>
    <w:p>
      <w:pPr>
        <w:keepNext/>
        <w:keepLines/>
        <w:pageBreakBefore w:val="0"/>
        <w:widowControl w:val="0"/>
        <w:kinsoku/>
        <w:wordWrap/>
        <w:overflowPunct/>
        <w:topLinePunct w:val="0"/>
        <w:autoSpaceDE w:val="0"/>
        <w:autoSpaceDN/>
        <w:bidi w:val="0"/>
        <w:adjustRightInd/>
        <w:snapToGrid/>
        <w:spacing w:line="600" w:lineRule="exact"/>
        <w:jc w:val="both"/>
        <w:textAlignment w:val="auto"/>
        <w:rPr>
          <w:rFonts w:hint="eastAsia" w:ascii="新宋体" w:hAnsi="新宋体" w:eastAsia="新宋体" w:cs="新宋体"/>
          <w:b/>
          <w:bCs/>
          <w:i w:val="0"/>
          <w:iCs w:val="0"/>
          <w:caps w:val="0"/>
          <w:color w:val="343434"/>
          <w:spacing w:val="0"/>
          <w:sz w:val="44"/>
          <w:szCs w:val="44"/>
          <w:shd w:val="clear" w:fill="FFFFFF"/>
          <w:lang w:eastAsia="zh-CN"/>
        </w:rPr>
      </w:pPr>
    </w:p>
    <w:p>
      <w:pPr>
        <w:keepNext/>
        <w:keepLines/>
        <w:pageBreakBefore w:val="0"/>
        <w:widowControl w:val="0"/>
        <w:kinsoku/>
        <w:wordWrap/>
        <w:overflowPunct/>
        <w:topLinePunct w:val="0"/>
        <w:autoSpaceDE w:val="0"/>
        <w:autoSpaceDN/>
        <w:bidi w:val="0"/>
        <w:adjustRightInd/>
        <w:snapToGrid/>
        <w:spacing w:line="600" w:lineRule="exact"/>
        <w:jc w:val="center"/>
        <w:textAlignment w:val="auto"/>
        <w:rPr>
          <w:rFonts w:hint="eastAsia" w:ascii="新宋体" w:hAnsi="新宋体" w:eastAsia="新宋体" w:cs="新宋体"/>
          <w:b/>
          <w:bCs/>
          <w:i w:val="0"/>
          <w:iCs w:val="0"/>
          <w:caps w:val="0"/>
          <w:color w:val="343434"/>
          <w:spacing w:val="0"/>
          <w:sz w:val="44"/>
          <w:szCs w:val="44"/>
          <w:shd w:val="clear" w:fill="FFFFFF"/>
        </w:rPr>
      </w:pPr>
      <w:r>
        <w:rPr>
          <w:rFonts w:hint="eastAsia" w:ascii="新宋体" w:hAnsi="新宋体" w:eastAsia="新宋体" w:cs="新宋体"/>
          <w:b/>
          <w:bCs/>
          <w:i w:val="0"/>
          <w:iCs w:val="0"/>
          <w:caps w:val="0"/>
          <w:color w:val="343434"/>
          <w:spacing w:val="0"/>
          <w:sz w:val="44"/>
          <w:szCs w:val="44"/>
          <w:shd w:val="clear" w:fill="FFFFFF"/>
          <w:lang w:eastAsia="zh-CN"/>
        </w:rPr>
        <w:t>潢川</w:t>
      </w:r>
      <w:r>
        <w:rPr>
          <w:rFonts w:hint="eastAsia" w:ascii="新宋体" w:hAnsi="新宋体" w:eastAsia="新宋体" w:cs="新宋体"/>
          <w:b/>
          <w:bCs/>
          <w:i w:val="0"/>
          <w:iCs w:val="0"/>
          <w:caps w:val="0"/>
          <w:color w:val="343434"/>
          <w:spacing w:val="0"/>
          <w:sz w:val="44"/>
          <w:szCs w:val="44"/>
          <w:shd w:val="clear" w:fill="FFFFFF"/>
        </w:rPr>
        <w:t>县文化</w:t>
      </w:r>
      <w:r>
        <w:rPr>
          <w:rFonts w:hint="eastAsia" w:ascii="新宋体" w:hAnsi="新宋体" w:eastAsia="新宋体" w:cs="新宋体"/>
          <w:b/>
          <w:bCs/>
          <w:i w:val="0"/>
          <w:iCs w:val="0"/>
          <w:caps w:val="0"/>
          <w:color w:val="343434"/>
          <w:spacing w:val="0"/>
          <w:sz w:val="44"/>
          <w:szCs w:val="44"/>
          <w:shd w:val="clear" w:fill="FFFFFF"/>
          <w:lang w:eastAsia="zh-CN"/>
        </w:rPr>
        <w:t>广电</w:t>
      </w:r>
      <w:r>
        <w:rPr>
          <w:rFonts w:hint="eastAsia" w:ascii="新宋体" w:hAnsi="新宋体" w:eastAsia="新宋体" w:cs="新宋体"/>
          <w:b/>
          <w:bCs/>
          <w:i w:val="0"/>
          <w:iCs w:val="0"/>
          <w:caps w:val="0"/>
          <w:color w:val="343434"/>
          <w:spacing w:val="0"/>
          <w:sz w:val="44"/>
          <w:szCs w:val="44"/>
          <w:shd w:val="clear" w:fill="FFFFFF"/>
        </w:rPr>
        <w:t>和旅游市场信用</w:t>
      </w:r>
    </w:p>
    <w:p>
      <w:pPr>
        <w:keepNext/>
        <w:keepLines/>
        <w:pageBreakBefore w:val="0"/>
        <w:widowControl w:val="0"/>
        <w:kinsoku/>
        <w:wordWrap/>
        <w:overflowPunct/>
        <w:topLinePunct w:val="0"/>
        <w:autoSpaceDE w:val="0"/>
        <w:autoSpaceDN/>
        <w:bidi w:val="0"/>
        <w:adjustRightInd/>
        <w:snapToGrid/>
        <w:spacing w:line="600" w:lineRule="exact"/>
        <w:jc w:val="center"/>
        <w:textAlignment w:val="auto"/>
        <w:rPr>
          <w:rFonts w:hint="eastAsia" w:ascii="新宋体" w:hAnsi="新宋体" w:eastAsia="新宋体" w:cs="新宋体"/>
          <w:b/>
          <w:bCs/>
          <w:i w:val="0"/>
          <w:iCs w:val="0"/>
          <w:caps w:val="0"/>
          <w:color w:val="343434"/>
          <w:spacing w:val="0"/>
          <w:sz w:val="44"/>
          <w:szCs w:val="44"/>
          <w:shd w:val="clear" w:fill="FFFFFF"/>
          <w:lang w:eastAsia="zh-CN"/>
        </w:rPr>
      </w:pPr>
      <w:r>
        <w:rPr>
          <w:rFonts w:hint="eastAsia" w:ascii="新宋体" w:hAnsi="新宋体" w:eastAsia="新宋体" w:cs="新宋体"/>
          <w:b/>
          <w:bCs/>
          <w:i w:val="0"/>
          <w:iCs w:val="0"/>
          <w:caps w:val="0"/>
          <w:color w:val="343434"/>
          <w:spacing w:val="0"/>
          <w:sz w:val="44"/>
          <w:szCs w:val="44"/>
          <w:shd w:val="clear" w:fill="FFFFFF"/>
        </w:rPr>
        <w:t>监管分级分类制度</w:t>
      </w:r>
      <w:r>
        <w:rPr>
          <w:rFonts w:hint="eastAsia" w:ascii="新宋体" w:hAnsi="新宋体" w:eastAsia="新宋体" w:cs="新宋体"/>
          <w:b/>
          <w:bCs/>
          <w:i w:val="0"/>
          <w:iCs w:val="0"/>
          <w:caps w:val="0"/>
          <w:color w:val="343434"/>
          <w:spacing w:val="0"/>
          <w:sz w:val="44"/>
          <w:szCs w:val="44"/>
          <w:shd w:val="clear" w:fill="FFFFFF"/>
          <w:lang w:eastAsia="zh-CN"/>
        </w:rPr>
        <w:t>（试行）</w:t>
      </w:r>
    </w:p>
    <w:p>
      <w:pPr>
        <w:keepNext/>
        <w:keepLines/>
        <w:pageBreakBefore w:val="0"/>
        <w:widowControl w:val="0"/>
        <w:kinsoku/>
        <w:wordWrap/>
        <w:overflowPunct/>
        <w:topLinePunct w:val="0"/>
        <w:autoSpaceDE w:val="0"/>
        <w:autoSpaceDN/>
        <w:bidi w:val="0"/>
        <w:adjustRightInd/>
        <w:snapToGrid/>
        <w:spacing w:line="600" w:lineRule="exact"/>
        <w:jc w:val="both"/>
        <w:textAlignment w:val="auto"/>
        <w:rPr>
          <w:rFonts w:hint="eastAsia" w:ascii="黑体" w:hAnsi="黑体" w:eastAsia="黑体" w:cs="黑体"/>
          <w:b/>
          <w:bCs/>
          <w:i w:val="0"/>
          <w:iCs w:val="0"/>
          <w:caps w:val="0"/>
          <w:color w:val="343434"/>
          <w:spacing w:val="0"/>
          <w:sz w:val="32"/>
          <w:szCs w:val="32"/>
          <w:shd w:val="clear" w:fill="FFFFFF"/>
          <w:lang w:eastAsia="zh-CN"/>
        </w:rPr>
      </w:pPr>
    </w:p>
    <w:p>
      <w:pPr>
        <w:keepNext/>
        <w:keepLines/>
        <w:pageBreakBefore w:val="0"/>
        <w:widowControl w:val="0"/>
        <w:numPr>
          <w:ilvl w:val="0"/>
          <w:numId w:val="1"/>
        </w:numPr>
        <w:kinsoku/>
        <w:wordWrap/>
        <w:overflowPunct/>
        <w:topLinePunct w:val="0"/>
        <w:autoSpaceDE w:val="0"/>
        <w:autoSpaceDN/>
        <w:bidi w:val="0"/>
        <w:adjustRightInd/>
        <w:snapToGrid/>
        <w:spacing w:line="600" w:lineRule="exact"/>
        <w:ind w:firstLine="3213" w:firstLineChars="1000"/>
        <w:jc w:val="both"/>
        <w:textAlignment w:val="auto"/>
        <w:rPr>
          <w:rFonts w:hint="eastAsia" w:ascii="黑体" w:hAnsi="黑体" w:eastAsia="黑体" w:cs="黑体"/>
          <w:b/>
          <w:bCs/>
          <w:i w:val="0"/>
          <w:iCs w:val="0"/>
          <w:caps w:val="0"/>
          <w:color w:val="343434"/>
          <w:spacing w:val="0"/>
          <w:sz w:val="32"/>
          <w:szCs w:val="32"/>
          <w:shd w:val="clear" w:fill="FFFFFF"/>
          <w:lang w:eastAsia="zh-CN"/>
        </w:rPr>
      </w:pPr>
      <w:r>
        <w:rPr>
          <w:rFonts w:hint="eastAsia" w:ascii="黑体" w:hAnsi="黑体" w:eastAsia="黑体" w:cs="黑体"/>
          <w:b/>
          <w:bCs/>
          <w:i w:val="0"/>
          <w:iCs w:val="0"/>
          <w:caps w:val="0"/>
          <w:color w:val="343434"/>
          <w:spacing w:val="0"/>
          <w:sz w:val="32"/>
          <w:szCs w:val="32"/>
          <w:shd w:val="clear" w:fill="FFFFFF"/>
          <w:lang w:val="en-US" w:eastAsia="zh-CN"/>
        </w:rPr>
        <w:t xml:space="preserve"> </w:t>
      </w:r>
      <w:r>
        <w:rPr>
          <w:rFonts w:hint="eastAsia" w:ascii="黑体" w:hAnsi="黑体" w:eastAsia="黑体" w:cs="黑体"/>
          <w:b/>
          <w:bCs/>
          <w:i w:val="0"/>
          <w:iCs w:val="0"/>
          <w:caps w:val="0"/>
          <w:color w:val="343434"/>
          <w:spacing w:val="0"/>
          <w:sz w:val="32"/>
          <w:szCs w:val="32"/>
          <w:shd w:val="clear" w:fill="FFFFFF"/>
          <w:lang w:eastAsia="zh-CN"/>
        </w:rPr>
        <w:t>总则</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第一条</w:t>
      </w:r>
      <w:r>
        <w:rPr>
          <w:rFonts w:hint="eastAsia" w:ascii="仿宋" w:hAnsi="仿宋" w:eastAsia="仿宋" w:cs="仿宋"/>
          <w:i w:val="0"/>
          <w:iCs w:val="0"/>
          <w:caps w:val="0"/>
          <w:color w:val="auto"/>
          <w:spacing w:val="0"/>
          <w:kern w:val="0"/>
          <w:sz w:val="32"/>
          <w:szCs w:val="32"/>
          <w:shd w:val="clear" w:fill="FFFFFF"/>
          <w:lang w:val="en-US" w:eastAsia="zh-CN" w:bidi="ar"/>
        </w:rPr>
        <w:t xml:space="preserve"> 为加快我县文化广电和旅游市场监管信用体系建设，贯彻落实“信用+监管”机制，有效防止和减少文化广电和旅游市场违法违规行为发生，营造良好的营商环境，促进行业自律，</w:t>
      </w:r>
      <w:r>
        <w:rPr>
          <w:rFonts w:ascii="仿宋" w:hAnsi="仿宋" w:eastAsia="仿宋" w:cs="仿宋"/>
          <w:i w:val="0"/>
          <w:caps w:val="0"/>
          <w:color w:val="auto"/>
          <w:spacing w:val="0"/>
          <w:sz w:val="32"/>
          <w:szCs w:val="32"/>
          <w:shd w:val="clear" w:fill="FFFFFF"/>
        </w:rPr>
        <w:t>根据国务院《社会信用体系建设规划纲要（2014-2020）》（国发〔2014〕21号）、《文化和旅游部关于印发&lt;全国文化市场黑名单管理办法&gt;的通知》（文旅市发〔2018〕30号文）、《文化和旅游部关于印发&lt;旅游市场黑名单管理办法（试行）&gt;的通知》(文旅市场发〔2018〕119号)等规定，</w:t>
      </w:r>
      <w:r>
        <w:rPr>
          <w:rFonts w:hint="eastAsia" w:ascii="仿宋" w:hAnsi="仿宋" w:eastAsia="仿宋" w:cs="仿宋"/>
          <w:i w:val="0"/>
          <w:iCs w:val="0"/>
          <w:caps w:val="0"/>
          <w:color w:val="auto"/>
          <w:spacing w:val="0"/>
          <w:kern w:val="0"/>
          <w:sz w:val="32"/>
          <w:szCs w:val="32"/>
          <w:shd w:val="clear" w:fill="FFFFFF"/>
          <w:lang w:val="en-US" w:eastAsia="zh-CN" w:bidi="ar"/>
        </w:rPr>
        <w:t>结合我县实际,制定本制度。</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第二条 </w:t>
      </w:r>
      <w:r>
        <w:rPr>
          <w:rFonts w:hint="eastAsia" w:ascii="仿宋" w:hAnsi="仿宋" w:eastAsia="仿宋" w:cs="仿宋"/>
          <w:i w:val="0"/>
          <w:iCs w:val="0"/>
          <w:caps w:val="0"/>
          <w:color w:val="auto"/>
          <w:spacing w:val="0"/>
          <w:kern w:val="0"/>
          <w:sz w:val="32"/>
          <w:szCs w:val="32"/>
          <w:shd w:val="clear" w:fill="FFFFFF"/>
          <w:lang w:val="en-US" w:eastAsia="zh-CN" w:bidi="ar"/>
        </w:rPr>
        <w:t>在本县行政区域内从事文化广电和旅游经营活动的市场主体及人员推行信用监管分级分类制度,市场主体及人员包括依法申请成立或备案,在本县范围内从事文化和旅游市场经营和服务活动的单位或个人;在本县区域内未经申请成立或备案,擅自从事文化广电和旅游市场经营活动的单位或个人。</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第三条 </w:t>
      </w:r>
      <w:r>
        <w:rPr>
          <w:rFonts w:hint="eastAsia" w:ascii="仿宋" w:hAnsi="仿宋" w:eastAsia="仿宋" w:cs="仿宋"/>
          <w:i w:val="0"/>
          <w:iCs w:val="0"/>
          <w:caps w:val="0"/>
          <w:color w:val="auto"/>
          <w:spacing w:val="0"/>
          <w:kern w:val="0"/>
          <w:sz w:val="32"/>
          <w:szCs w:val="32"/>
          <w:shd w:val="clear" w:fill="FFFFFF"/>
          <w:lang w:val="en-US" w:eastAsia="zh-CN" w:bidi="ar"/>
        </w:rPr>
        <w:t>文化广电和旅游市场信用监管分级分类认定是指对市场主体及人员三年内接受行业主管部门的处罚信息进行归集分类,通过信用信息审核、公示,按A级、B级和C级三种情况,分类管理,实行动态监管的一种制度。</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第四条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潢川县文化市场综合行政执法大队负责全县文化广电和旅游市场信用监管分级分类的管理工作,负责制定潢川县文化广电和旅游市场信用监管A级、B级和C级的标准,指导行业实施。</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jc w:val="center"/>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第二章  市场信用监管信息归集</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第五条 </w:t>
      </w:r>
      <w:r>
        <w:rPr>
          <w:rFonts w:hint="eastAsia" w:ascii="仿宋" w:hAnsi="仿宋" w:eastAsia="仿宋" w:cs="仿宋"/>
          <w:i w:val="0"/>
          <w:iCs w:val="0"/>
          <w:caps w:val="0"/>
          <w:color w:val="auto"/>
          <w:spacing w:val="0"/>
          <w:kern w:val="0"/>
          <w:sz w:val="32"/>
          <w:szCs w:val="32"/>
          <w:shd w:val="clear" w:fill="FFFFFF"/>
          <w:lang w:val="en-US" w:eastAsia="zh-CN" w:bidi="ar"/>
        </w:rPr>
        <w:t>市场信用监管信息归集市场主体及人员信用监管信息包括:市场主体及人员基本信息、接受行政主管部门行政处罚信息以及其他信息、市场主体及人员公共信用综合评价结果信息。</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第六条 </w:t>
      </w:r>
      <w:r>
        <w:rPr>
          <w:rFonts w:hint="eastAsia" w:ascii="仿宋" w:hAnsi="仿宋" w:eastAsia="仿宋" w:cs="仿宋"/>
          <w:i w:val="0"/>
          <w:iCs w:val="0"/>
          <w:caps w:val="0"/>
          <w:color w:val="auto"/>
          <w:spacing w:val="0"/>
          <w:kern w:val="0"/>
          <w:sz w:val="32"/>
          <w:szCs w:val="32"/>
          <w:shd w:val="clear" w:fill="FFFFFF"/>
          <w:lang w:val="en-US" w:eastAsia="zh-CN" w:bidi="ar"/>
        </w:rPr>
        <w:t>市场主体及人员的基本信息包括：</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320" w:firstLineChars="1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xml:space="preserve"> （一)名标、统一社会信用代码(自然人身份证号码)、法定代表人或负责人姓名和身份证号码、股东或者合伙人等登记注册信息;</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(二)资格、资质等行政许可信息;</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(三)产品、服务、管理体系获得的认证认可信息;</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(四)其它反映市场主体及人员基本情况的信息。</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市场主体及人员的基本信息从国家企业信用公示系统等政府信用平台中提取。</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第七条 </w:t>
      </w:r>
      <w:r>
        <w:rPr>
          <w:rFonts w:hint="eastAsia" w:ascii="仿宋" w:hAnsi="仿宋" w:eastAsia="仿宋" w:cs="仿宋"/>
          <w:i w:val="0"/>
          <w:iCs w:val="0"/>
          <w:caps w:val="0"/>
          <w:color w:val="auto"/>
          <w:spacing w:val="0"/>
          <w:kern w:val="0"/>
          <w:sz w:val="32"/>
          <w:szCs w:val="32"/>
          <w:shd w:val="clear" w:fill="FFFFFF"/>
          <w:lang w:val="en-US" w:eastAsia="zh-CN" w:bidi="ar"/>
        </w:rPr>
        <w:t>市场主体及人员的处罚信息包括：</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(一)行政主管部门的行政处罚,包括一般程序、简易程序案件以及行政强制执行信息;</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(二)其他相关部门的行政处罚信息;</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(三)确认违法违规但依法不予行政处罚的信息;</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(四)拒绝、阻挠执法;伪造或故意破坏现场;转移隐匿隐瞒、伪造、销毁有关证据资料的;擅自动用查封扣押物品;逾期不履行行政处罚决定等行为信息。</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第八条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市场主体及人员公共信用综合评价结果信息,可在“信用潢川”平台上查询。</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jc w:val="center"/>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第四章  市场信用监管分级分类等级与评价标准</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第九条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潢川县文化广电和旅游市场信用监管分级分类首次评定三年时间自2020年1月1起至2022年12月31日。 </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市场主体及人员连续三年未发生本制度第二章第七条所列行为的,纳入信用A级名录:对经营达到一定规模、在行业内具有影响力且发挥行业表率作用的,由县级行政主管部门上报市局评定“文明诚信示范店”进行激励;三年内发生一次本制度第二章第七条所列行为的,列为B级;三年内发生两次或两次以上本制度第二章第七条所列行为的、或有重大违法行为,造成严重社会影响的、或因无证经营被查处的列为C级,并纳入“信用潢川”红黑榜名单进行重点监管。</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第十条 </w:t>
      </w:r>
      <w:r>
        <w:rPr>
          <w:rFonts w:hint="eastAsia" w:ascii="仿宋" w:hAnsi="仿宋" w:eastAsia="仿宋" w:cs="仿宋"/>
          <w:i w:val="0"/>
          <w:iCs w:val="0"/>
          <w:caps w:val="0"/>
          <w:color w:val="auto"/>
          <w:spacing w:val="0"/>
          <w:kern w:val="0"/>
          <w:sz w:val="32"/>
          <w:szCs w:val="32"/>
          <w:shd w:val="clear" w:fill="FFFFFF"/>
          <w:lang w:val="en-US" w:eastAsia="zh-CN" w:bidi="ar"/>
        </w:rPr>
        <w:t>列为A级的市场主体及人员,同等条件下,优先享有文化、广电、新闻出版、旅游产业发展政策扶持。</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第十一条 </w:t>
      </w:r>
      <w:r>
        <w:rPr>
          <w:rFonts w:hint="eastAsia" w:ascii="仿宋" w:hAnsi="仿宋" w:eastAsia="仿宋" w:cs="仿宋"/>
          <w:i w:val="0"/>
          <w:iCs w:val="0"/>
          <w:caps w:val="0"/>
          <w:color w:val="auto"/>
          <w:spacing w:val="0"/>
          <w:kern w:val="0"/>
          <w:sz w:val="32"/>
          <w:szCs w:val="32"/>
          <w:shd w:val="clear" w:fill="FFFFFF"/>
          <w:lang w:val="en-US" w:eastAsia="zh-CN" w:bidi="ar"/>
        </w:rPr>
        <w:t>列为B级的市场主体及人员,县文化市场综合行政执法大队定期对其发送信用风险提醒告知书 ;召开信用修复法律法规培训学习;签订信用修复承诺书;每季度定期对其开展市场检查,督促其守法诚信经营。</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第十二条 </w:t>
      </w:r>
      <w:r>
        <w:rPr>
          <w:rFonts w:hint="eastAsia" w:ascii="仿宋" w:hAnsi="仿宋" w:eastAsia="仿宋" w:cs="仿宋"/>
          <w:i w:val="0"/>
          <w:iCs w:val="0"/>
          <w:caps w:val="0"/>
          <w:color w:val="auto"/>
          <w:spacing w:val="0"/>
          <w:kern w:val="0"/>
          <w:sz w:val="32"/>
          <w:szCs w:val="32"/>
          <w:shd w:val="clear" w:fill="FFFFFF"/>
          <w:lang w:val="en-US" w:eastAsia="zh-CN" w:bidi="ar"/>
        </w:rPr>
        <w:t>列为C级的市场主体及人员,县文化市场综合执法大队对其采取以下措施:</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(一)每年对其进行一次以上文化和旅游市场法律法规培训学习和信用修复培训;</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(二)进行信用风险提醒告知;</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(三)签订信用修复承诺书;</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(四)列入重点监管名录,依法依规实行全覆盖重点检查,发现再次违法违规经营的,依法从重处罚。</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center"/>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第五章市场信用监管分级分类评定程序</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第十三条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县文化市场综合行政执法大队提出本行业市场主体及人员信用A级、B级和C级名单。对提出的信用分级名单上报县文化广电和旅游局备案，并在“信用潢川”平台进行公布。</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第十四条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潢川县文化广电和旅游局在本局网站设立市场监管信用分级分类专栏,分级分批公示,实行信息动态管理。信用分级分类认定,每两年开展一次。</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第十五条</w:t>
      </w:r>
      <w:r>
        <w:rPr>
          <w:rFonts w:hint="eastAsia" w:ascii="仿宋" w:hAnsi="仿宋" w:eastAsia="仿宋" w:cs="仿宋"/>
          <w:i w:val="0"/>
          <w:iCs w:val="0"/>
          <w:caps w:val="0"/>
          <w:color w:val="auto"/>
          <w:spacing w:val="0"/>
          <w:kern w:val="0"/>
          <w:sz w:val="32"/>
          <w:szCs w:val="32"/>
          <w:shd w:val="clear" w:fill="FFFFFF"/>
          <w:lang w:val="en-US" w:eastAsia="zh-CN" w:bidi="ar"/>
        </w:rPr>
        <w:t xml:space="preserve"> 纳入信用A级名录的市场主体及人员,发现有本制度第二章第七条所列行为的,由纳入部门移出信用A级名录。认定为B级和C级的市场主体及人员,自认定之日起连续两年未发生本制度第二章第七条所列行为的,经审核确认后,可以纳入信用A级名录。</w:t>
      </w:r>
    </w:p>
    <w:p>
      <w:pPr>
        <w:keepNext/>
        <w:keepLines/>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pPr>
      <w:r>
        <w:rPr>
          <w:rFonts w:hint="eastAsia" w:ascii="仿宋" w:hAnsi="仿宋" w:eastAsia="仿宋" w:cs="仿宋"/>
          <w:i w:val="0"/>
          <w:iCs w:val="0"/>
          <w:caps w:val="0"/>
          <w:color w:val="auto"/>
          <w:spacing w:val="0"/>
          <w:kern w:val="0"/>
          <w:sz w:val="32"/>
          <w:szCs w:val="32"/>
          <w:shd w:val="clear" w:fill="FFFFFF"/>
          <w:lang w:val="en-US" w:eastAsia="zh-CN" w:bidi="ar"/>
        </w:rPr>
        <w:t>本制度自2020年1月1日起施行,有效期三年,至2022年12月31日止。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6276D"/>
    <w:multiLevelType w:val="singleLevel"/>
    <w:tmpl w:val="D3C6276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26B5D"/>
    <w:rsid w:val="03DE1A3E"/>
    <w:rsid w:val="05E57574"/>
    <w:rsid w:val="0DA35259"/>
    <w:rsid w:val="0DE913C5"/>
    <w:rsid w:val="12826B5D"/>
    <w:rsid w:val="25F533FB"/>
    <w:rsid w:val="2F007C43"/>
    <w:rsid w:val="3FFA719D"/>
    <w:rsid w:val="40EC2905"/>
    <w:rsid w:val="46AB7443"/>
    <w:rsid w:val="565C5471"/>
    <w:rsid w:val="65622F6B"/>
    <w:rsid w:val="692C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2021-11-11T02:51:00Z</dcterms:created>
  <dc:creator>Administrator</dc:creator>
  <cp:lastModifiedBy>Administrator</cp:lastModifiedBy>
  <cp:lastPrinted>2021-11-11T08:48:00Z</cp:lastPrinted>
  <dcterms:modified xsi:type="dcterms:W3CDTF">2022-03-18T07:35:38Z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0F08AB3F5AE843A4A79A5EA597E17D09</vt:lpwstr>
  </property>
</Properties>
</file>