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75" w:lineRule="atLeast"/>
        <w:rPr>
          <w:rFonts w:hint="eastAsia" w:ascii="仿宋_GB2312" w:hAnsi="Verdana" w:eastAsia="仿宋_GB2312" w:cs="宋体"/>
          <w:color w:val="000000"/>
          <w:kern w:val="0"/>
          <w:sz w:val="32"/>
          <w:szCs w:val="32"/>
        </w:rPr>
      </w:pPr>
      <w:r>
        <w:rPr>
          <w:rFonts w:hint="eastAsia" w:ascii="仿宋_GB2312" w:hAnsi="黑体" w:eastAsia="仿宋_GB2312" w:cs="宋体"/>
          <w:color w:val="000000"/>
          <w:kern w:val="0"/>
          <w:sz w:val="32"/>
          <w:szCs w:val="32"/>
        </w:rPr>
        <w:t>附件1</w:t>
      </w:r>
    </w:p>
    <w:p>
      <w:pPr>
        <w:widowControl/>
        <w:wordWrap w:val="0"/>
        <w:spacing w:line="570" w:lineRule="exact"/>
        <w:jc w:val="center"/>
        <w:rPr>
          <w:rFonts w:hint="eastAsia" w:ascii="方正小标宋简体" w:hAnsi="宋体" w:eastAsia="方正小标宋简体" w:cs="宋体"/>
          <w:color w:val="000000"/>
          <w:kern w:val="0"/>
          <w:sz w:val="42"/>
          <w:szCs w:val="44"/>
        </w:rPr>
      </w:pPr>
      <w:r>
        <w:rPr>
          <w:rFonts w:hint="eastAsia" w:ascii="方正小标宋简体" w:hAnsi="方正仿宋_GBK" w:eastAsia="方正小标宋简体" w:cs="宋体"/>
          <w:color w:val="000000"/>
          <w:kern w:val="0"/>
          <w:sz w:val="42"/>
          <w:szCs w:val="44"/>
        </w:rPr>
        <w:t>河南省人民政府办公厅</w:t>
      </w:r>
    </w:p>
    <w:p>
      <w:pPr>
        <w:widowControl/>
        <w:wordWrap w:val="0"/>
        <w:spacing w:line="570" w:lineRule="exact"/>
        <w:jc w:val="center"/>
        <w:rPr>
          <w:rFonts w:hint="eastAsia" w:ascii="方正小标宋简体" w:hAnsi="宋体" w:eastAsia="方正小标宋简体" w:cs="宋体"/>
          <w:color w:val="000000"/>
          <w:kern w:val="0"/>
          <w:sz w:val="42"/>
          <w:szCs w:val="44"/>
        </w:rPr>
      </w:pPr>
      <w:r>
        <w:rPr>
          <w:rFonts w:hint="eastAsia" w:ascii="方正小标宋简体" w:hAnsi="方正仿宋_GBK" w:eastAsia="方正小标宋简体" w:cs="宋体"/>
          <w:color w:val="000000"/>
          <w:kern w:val="0"/>
          <w:sz w:val="42"/>
          <w:szCs w:val="44"/>
        </w:rPr>
        <w:t>关于促进农民进城购房扩大住房消费的</w:t>
      </w:r>
    </w:p>
    <w:p>
      <w:pPr>
        <w:widowControl/>
        <w:wordWrap w:val="0"/>
        <w:spacing w:line="570" w:lineRule="exact"/>
        <w:jc w:val="center"/>
        <w:rPr>
          <w:rFonts w:hint="eastAsia" w:ascii="方正小标宋简体" w:hAnsi="宋体" w:eastAsia="方正小标宋简体" w:cs="宋体"/>
          <w:color w:val="000000"/>
          <w:kern w:val="0"/>
          <w:sz w:val="42"/>
          <w:szCs w:val="44"/>
        </w:rPr>
      </w:pPr>
      <w:r>
        <w:rPr>
          <w:rFonts w:hint="eastAsia" w:ascii="方正小标宋简体" w:hAnsi="方正仿宋_GBK" w:eastAsia="方正小标宋简体" w:cs="宋体"/>
          <w:color w:val="000000"/>
          <w:kern w:val="0"/>
          <w:sz w:val="42"/>
          <w:szCs w:val="44"/>
        </w:rPr>
        <w:t>意　　见</w:t>
      </w:r>
    </w:p>
    <w:p>
      <w:pPr>
        <w:widowControl/>
        <w:spacing w:line="600" w:lineRule="exact"/>
        <w:jc w:val="center"/>
        <w:rPr>
          <w:rFonts w:hint="eastAsia" w:ascii="仿宋_GB2312" w:hAnsi="方正仿宋_GBK" w:eastAsia="仿宋_GB2312" w:cs="宋体"/>
          <w:color w:val="000000"/>
          <w:kern w:val="0"/>
          <w:sz w:val="32"/>
          <w:szCs w:val="32"/>
        </w:rPr>
      </w:pPr>
    </w:p>
    <w:p>
      <w:pPr>
        <w:widowControl/>
        <w:spacing w:line="600" w:lineRule="exact"/>
        <w:jc w:val="center"/>
        <w:rPr>
          <w:rFonts w:hint="eastAsia" w:ascii="仿宋_GB2312" w:hAnsi="宋体" w:eastAsia="仿宋_GB2312" w:cs="宋体"/>
          <w:color w:val="000000"/>
          <w:kern w:val="0"/>
          <w:sz w:val="32"/>
          <w:szCs w:val="32"/>
        </w:rPr>
      </w:pPr>
      <w:r>
        <w:rPr>
          <w:rFonts w:hint="eastAsia" w:ascii="仿宋_GB2312" w:hAnsi="方正仿宋_GBK" w:eastAsia="仿宋_GB2312" w:cs="宋体"/>
          <w:color w:val="000000"/>
          <w:kern w:val="0"/>
          <w:sz w:val="32"/>
          <w:szCs w:val="32"/>
        </w:rPr>
        <w:t>豫政办〔</w:t>
      </w:r>
      <w:r>
        <w:rPr>
          <w:rFonts w:hint="eastAsia" w:ascii="仿宋_GB2312" w:hAnsi="宋体" w:eastAsia="仿宋_GB2312" w:cs="宋体"/>
          <w:color w:val="000000"/>
          <w:kern w:val="0"/>
          <w:sz w:val="32"/>
          <w:szCs w:val="32"/>
        </w:rPr>
        <w:t>2015</w:t>
      </w:r>
      <w:r>
        <w:rPr>
          <w:rFonts w:hint="eastAsia" w:ascii="仿宋_GB2312" w:hAnsi="方正仿宋_GBK" w:eastAsia="仿宋_GB2312" w:cs="宋体"/>
          <w:color w:val="000000"/>
          <w:kern w:val="0"/>
          <w:sz w:val="32"/>
          <w:szCs w:val="32"/>
        </w:rPr>
        <w:t>〕</w:t>
      </w:r>
      <w:r>
        <w:rPr>
          <w:rFonts w:hint="eastAsia" w:ascii="仿宋_GB2312" w:hAnsi="宋体" w:eastAsia="仿宋_GB2312" w:cs="宋体"/>
          <w:color w:val="000000"/>
          <w:kern w:val="0"/>
          <w:sz w:val="32"/>
          <w:szCs w:val="32"/>
        </w:rPr>
        <w:t>139</w:t>
      </w:r>
      <w:r>
        <w:rPr>
          <w:rFonts w:hint="eastAsia" w:ascii="仿宋_GB2312" w:hAnsi="方正仿宋_GBK" w:eastAsia="仿宋_GB2312" w:cs="宋体"/>
          <w:color w:val="000000"/>
          <w:kern w:val="0"/>
          <w:sz w:val="32"/>
          <w:szCs w:val="32"/>
        </w:rPr>
        <w:t>号</w:t>
      </w:r>
    </w:p>
    <w:p>
      <w:pPr>
        <w:widowControl/>
        <w:spacing w:line="600" w:lineRule="exact"/>
        <w:jc w:val="left"/>
        <w:rPr>
          <w:rFonts w:ascii="宋体" w:cs="宋体"/>
          <w:color w:val="000000"/>
          <w:kern w:val="0"/>
          <w:sz w:val="32"/>
          <w:szCs w:val="32"/>
        </w:rPr>
      </w:pPr>
      <w:r>
        <w:rPr>
          <w:rFonts w:ascii="宋体" w:hAnsi="宋体" w:cs="宋体"/>
          <w:color w:val="000000"/>
          <w:kern w:val="0"/>
          <w:sz w:val="32"/>
          <w:szCs w:val="32"/>
        </w:rPr>
        <w:t xml:space="preserve">  </w:t>
      </w:r>
    </w:p>
    <w:p>
      <w:pPr>
        <w:widowControl/>
        <w:spacing w:line="60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各市、县人民政府</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省人民政府有关部门</w:t>
      </w:r>
      <w:r>
        <w:rPr>
          <w:rFonts w:hint="eastAsia" w:ascii="仿宋_GB2312" w:eastAsia="仿宋_GB2312" w:cs="宋体"/>
          <w:color w:val="000000"/>
          <w:kern w:val="0"/>
          <w:sz w:val="32"/>
          <w:szCs w:val="32"/>
        </w:rPr>
        <w:t>：</w:t>
      </w:r>
    </w:p>
    <w:p>
      <w:pPr>
        <w:widowControl/>
        <w:spacing w:line="60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　　为全面落实《河南省人民政府办公厅转发省住房城乡建设厅等部门关于促进房地产市场平稳健康发展若干意见的通知》</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豫政办〔2015〕48号</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精神</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促进农民进城购房</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扩大住房消费</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科学推进以人为核心的新型城镇化</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经省政府同意</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现结合我省实际</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提出如下意见</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请认真贯彻落实。</w:t>
      </w:r>
    </w:p>
    <w:p>
      <w:pPr>
        <w:widowControl/>
        <w:spacing w:line="60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一、改善金融服务</w:t>
      </w:r>
    </w:p>
    <w:p>
      <w:pPr>
        <w:widowControl/>
        <w:spacing w:line="600" w:lineRule="exact"/>
        <w:jc w:val="left"/>
        <w:rPr>
          <w:rFonts w:hint="eastAsia" w:ascii="仿宋_GB2312" w:eastAsia="仿宋_GB2312" w:cs="宋体"/>
          <w:color w:val="000000"/>
          <w:kern w:val="0"/>
          <w:sz w:val="32"/>
          <w:szCs w:val="32"/>
        </w:rPr>
      </w:pPr>
      <w:r>
        <w:rPr>
          <w:rFonts w:hint="eastAsia" w:hAnsi="宋体" w:eastAsia="方正仿宋_GBK" w:cs="宋体"/>
          <w:color w:val="000000"/>
          <w:kern w:val="0"/>
          <w:sz w:val="32"/>
          <w:szCs w:val="32"/>
        </w:rPr>
        <w:t>　　</w:t>
      </w:r>
      <w:r>
        <w:rPr>
          <w:rFonts w:hint="eastAsia" w:ascii="仿宋_GB2312" w:hAnsi="宋体" w:eastAsia="仿宋_GB2312" w:cs="宋体"/>
          <w:color w:val="000000"/>
          <w:kern w:val="0"/>
          <w:sz w:val="32"/>
          <w:szCs w:val="32"/>
        </w:rPr>
        <w:t>切实提高农民进城购房的金融服务效率。房屋抵押登记部门和金融机构要针对农民进城购房办理房屋抵押登记、个人住房贷款等业务</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优化审批流程</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缩短办理周期</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提高服务效率。</w:t>
      </w:r>
    </w:p>
    <w:p>
      <w:pPr>
        <w:spacing w:line="60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　　加大对农民进城购买普通自住住房的信贷支持力度。金融机构在符合监管政策、有效控制风险的前提下</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丰富相关证明材料的要件形式</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积极实行优惠利率。</w:t>
      </w:r>
    </w:p>
    <w:p>
      <w:pPr>
        <w:spacing w:line="60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　　建立完善农民进城购房信贷风险分担机制。鼓励有条件的地方财政部门出资建立住房担保机构或设立专项担保基金</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为农民进城购房贷款提供风险分担或缓释措施。</w:t>
      </w:r>
    </w:p>
    <w:p>
      <w:pPr>
        <w:widowControl/>
        <w:spacing w:line="600" w:lineRule="exact"/>
        <w:jc w:val="left"/>
        <w:rPr>
          <w:rFonts w:hint="eastAsia" w:ascii="仿宋_GB2312" w:eastAsia="仿宋_GB2312" w:cs="宋体"/>
          <w:color w:val="000000"/>
          <w:kern w:val="0"/>
          <w:sz w:val="32"/>
          <w:szCs w:val="32"/>
        </w:rPr>
      </w:pPr>
      <w:r>
        <w:rPr>
          <w:rFonts w:hint="eastAsia" w:hAnsi="宋体" w:eastAsia="方正仿宋_GBK" w:cs="宋体"/>
          <w:color w:val="000000"/>
          <w:kern w:val="0"/>
          <w:sz w:val="32"/>
          <w:szCs w:val="32"/>
        </w:rPr>
        <w:t>　　</w:t>
      </w:r>
      <w:r>
        <w:rPr>
          <w:rFonts w:hint="eastAsia" w:ascii="仿宋_GB2312" w:hAnsi="宋体" w:eastAsia="仿宋_GB2312" w:cs="宋体"/>
          <w:color w:val="000000"/>
          <w:kern w:val="0"/>
          <w:sz w:val="32"/>
          <w:szCs w:val="32"/>
        </w:rPr>
        <w:t>各商业银行要积极开展农村居民个人住房贷款业务</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扩大业务范围</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支持农民进城购房。要进一步优化信贷资源配置</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加大对保障性安居工程建设的信贷支持力度</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扩大投放规模。</w:t>
      </w:r>
    </w:p>
    <w:p>
      <w:pPr>
        <w:widowControl/>
        <w:spacing w:line="60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　　各商业银行要积极探索建立完善农村林权、土地承包经营权、农村居民住房财产权抵押制度</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支持农民进城购房、定居</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促进新型城镇化健康发展。</w:t>
      </w:r>
    </w:p>
    <w:p>
      <w:pPr>
        <w:widowControl/>
        <w:spacing w:line="60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二、发挥住房公积金作用</w:t>
      </w:r>
    </w:p>
    <w:p>
      <w:pPr>
        <w:widowControl/>
        <w:spacing w:line="600" w:lineRule="exact"/>
        <w:jc w:val="left"/>
        <w:rPr>
          <w:rFonts w:hint="eastAsia" w:ascii="仿宋_GB2312" w:eastAsia="仿宋_GB2312" w:cs="宋体"/>
          <w:color w:val="000000"/>
          <w:kern w:val="0"/>
          <w:sz w:val="32"/>
          <w:szCs w:val="32"/>
        </w:rPr>
      </w:pPr>
      <w:r>
        <w:rPr>
          <w:rFonts w:hint="eastAsia" w:hAnsi="宋体" w:eastAsia="方正仿宋_GBK" w:cs="宋体"/>
          <w:color w:val="000000"/>
          <w:kern w:val="0"/>
          <w:sz w:val="32"/>
          <w:szCs w:val="32"/>
        </w:rPr>
        <w:t>　　</w:t>
      </w:r>
      <w:r>
        <w:rPr>
          <w:rFonts w:hint="eastAsia" w:ascii="仿宋_GB2312" w:hAnsi="宋体" w:eastAsia="仿宋_GB2312" w:cs="宋体"/>
          <w:color w:val="000000"/>
          <w:kern w:val="0"/>
          <w:sz w:val="32"/>
          <w:szCs w:val="32"/>
        </w:rPr>
        <w:t>进一步加强宣传引导</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帮助农民工全面了解住房公积金政策</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鼓励引导农民工缴存公积金。各地住房公积金管理机构要主动服务</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为农民工开设缴存账户建立</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绿色</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通道</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帮助其正常缴存。用工单位要将建立稳定劳动关系的农民纳入住房公积金制度覆盖范围</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依法保障其享受住房公积金政策。支持缴存住房公积金的农民工利用公积金贷款购买普通商品自住住房</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改善住房条件</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扩大住房消费。</w:t>
      </w:r>
    </w:p>
    <w:p>
      <w:pPr>
        <w:widowControl/>
        <w:spacing w:line="60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三、实施财政补贴政策</w:t>
      </w:r>
    </w:p>
    <w:p>
      <w:pPr>
        <w:widowControl/>
        <w:spacing w:line="600" w:lineRule="exact"/>
        <w:jc w:val="left"/>
        <w:rPr>
          <w:rFonts w:hint="eastAsia" w:ascii="仿宋_GB2312" w:eastAsia="仿宋_GB2312" w:cs="宋体"/>
          <w:color w:val="000000"/>
          <w:kern w:val="0"/>
          <w:sz w:val="32"/>
          <w:szCs w:val="32"/>
        </w:rPr>
      </w:pPr>
      <w:r>
        <w:rPr>
          <w:rFonts w:hint="eastAsia" w:hAnsi="宋体" w:eastAsia="方正仿宋_GBK" w:cs="宋体"/>
          <w:color w:val="000000"/>
          <w:kern w:val="0"/>
          <w:sz w:val="32"/>
          <w:szCs w:val="32"/>
        </w:rPr>
        <w:t>　　</w:t>
      </w:r>
      <w:r>
        <w:rPr>
          <w:rFonts w:hint="eastAsia" w:ascii="仿宋_GB2312" w:hAnsi="宋体" w:eastAsia="仿宋_GB2312" w:cs="宋体"/>
          <w:color w:val="000000"/>
          <w:kern w:val="0"/>
          <w:sz w:val="32"/>
          <w:szCs w:val="32"/>
        </w:rPr>
        <w:t>鼓励有条件的县</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市、区</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政府对农民和外来人员进城购买首套商品住房</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给予一定比例的购房补贴</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或由当地财政对购房者按所购房屋缴纳契税额度的适当比例给予购房补贴。具体标准由各地政府根据经济发展水平和城乡居民可支配收入水平制定落实</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住房城乡建设部门提出奖励意见和建议</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财政部门根据住房城乡建设部门建议安排奖励资金</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审计部门进行监督和审计。2015年—2017年省级财政每年安排不少于3亿元资金</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对政策落实较好的县</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市、区</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给予奖补支持。</w:t>
      </w:r>
    </w:p>
    <w:p>
      <w:pPr>
        <w:widowControl/>
        <w:spacing w:line="600" w:lineRule="exact"/>
        <w:jc w:val="left"/>
        <w:rPr>
          <w:rFonts w:hint="eastAsia" w:ascii="仿宋_GB2312" w:eastAsia="仿宋_GB2312" w:cs="宋体"/>
          <w:color w:val="000000"/>
          <w:kern w:val="0"/>
          <w:sz w:val="32"/>
          <w:szCs w:val="32"/>
        </w:rPr>
      </w:pPr>
      <w:r>
        <w:rPr>
          <w:rFonts w:hint="eastAsia" w:hAnsi="宋体" w:eastAsia="方正仿宋_GBK" w:cs="宋体"/>
          <w:color w:val="000000"/>
          <w:kern w:val="0"/>
          <w:sz w:val="32"/>
          <w:szCs w:val="32"/>
        </w:rPr>
        <w:t>　　</w:t>
      </w:r>
      <w:r>
        <w:rPr>
          <w:rFonts w:hint="eastAsia" w:ascii="仿宋_GB2312" w:hAnsi="宋体" w:eastAsia="仿宋_GB2312" w:cs="宋体"/>
          <w:color w:val="000000"/>
          <w:kern w:val="0"/>
          <w:sz w:val="32"/>
          <w:szCs w:val="32"/>
        </w:rPr>
        <w:t>符合住房公积金贷款条件的</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可向当地住房公积金管理中心申请将其商业银行个人贷款转为住房公积金个人贷款</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或由住房公积金管理中心委托商业银行发放个人贷款</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住房公积金管理中心给予利差补贴。</w:t>
      </w:r>
    </w:p>
    <w:p>
      <w:pPr>
        <w:widowControl/>
        <w:spacing w:line="60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　　凡城中村改造、</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三山一滩</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大别山、伏牛山、太行山贫困地区和黄河滩区</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扶贫搬迁、城乡建设用地增减挂钩试点政策实施涉及的农村居民</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选择货币化补偿安置并进城购房的</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享受以上补贴政策。</w:t>
      </w:r>
    </w:p>
    <w:p>
      <w:pPr>
        <w:widowControl/>
        <w:spacing w:line="60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四、强化创业就业保障</w:t>
      </w:r>
    </w:p>
    <w:p>
      <w:pPr>
        <w:widowControl/>
        <w:spacing w:line="600" w:lineRule="exact"/>
        <w:jc w:val="left"/>
        <w:rPr>
          <w:rFonts w:hint="eastAsia" w:ascii="仿宋_GB2312" w:eastAsia="仿宋_GB2312" w:cs="宋体"/>
          <w:color w:val="000000"/>
          <w:kern w:val="0"/>
          <w:sz w:val="32"/>
          <w:szCs w:val="32"/>
        </w:rPr>
      </w:pPr>
      <w:r>
        <w:rPr>
          <w:rFonts w:hint="eastAsia" w:hAnsi="宋体" w:eastAsia="方正仿宋_GBK" w:cs="宋体"/>
          <w:color w:val="000000"/>
          <w:kern w:val="0"/>
          <w:sz w:val="32"/>
          <w:szCs w:val="32"/>
        </w:rPr>
        <w:t>　　</w:t>
      </w:r>
      <w:r>
        <w:rPr>
          <w:rFonts w:hint="eastAsia" w:ascii="仿宋_GB2312" w:hAnsi="宋体" w:eastAsia="仿宋_GB2312" w:cs="宋体"/>
          <w:color w:val="000000"/>
          <w:kern w:val="0"/>
          <w:sz w:val="32"/>
          <w:szCs w:val="32"/>
        </w:rPr>
        <w:t>农民进城购房定居后从事工商业经营的</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工商、税务、卫生计生、环保等部门优先办理注册登记或审批备案手续</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就业创业的</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可参加人力资源社会保障部门组织的职业介绍、技能培训、创业指导等活动</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按规定享受相应补贴</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创业困难的</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按照国家政策优先提供创业培训、创业担保贷款支持。</w:t>
      </w:r>
    </w:p>
    <w:p>
      <w:pPr>
        <w:widowControl/>
        <w:spacing w:line="60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五、保障进城农民子女享受义务教育同城待遇</w:t>
      </w:r>
    </w:p>
    <w:p>
      <w:pPr>
        <w:spacing w:line="600" w:lineRule="exact"/>
        <w:jc w:val="left"/>
        <w:rPr>
          <w:rFonts w:hint="eastAsia" w:ascii="仿宋_GB2312" w:eastAsia="仿宋_GB2312" w:cs="宋体"/>
          <w:color w:val="000000"/>
          <w:kern w:val="0"/>
          <w:sz w:val="32"/>
          <w:szCs w:val="32"/>
        </w:rPr>
      </w:pPr>
      <w:r>
        <w:rPr>
          <w:rFonts w:hint="eastAsia" w:hAnsi="宋体" w:eastAsia="方正仿宋_GBK" w:cs="宋体"/>
          <w:color w:val="000000"/>
          <w:kern w:val="0"/>
          <w:sz w:val="32"/>
          <w:szCs w:val="32"/>
        </w:rPr>
        <w:t>　　</w:t>
      </w:r>
      <w:r>
        <w:rPr>
          <w:rFonts w:hint="eastAsia" w:ascii="仿宋_GB2312" w:hAnsi="宋体" w:eastAsia="仿宋_GB2312" w:cs="宋体"/>
          <w:color w:val="000000"/>
          <w:kern w:val="0"/>
          <w:sz w:val="32"/>
          <w:szCs w:val="32"/>
        </w:rPr>
        <w:t>农民进城购房取得居住证后</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其子女进城接受义务教育的</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享有与城镇居民子女同等待遇</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由所在县</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市、区</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教育部门统筹安排入学</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学校不得拒绝</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不得收取政策规定外的额外费用。</w:t>
      </w:r>
    </w:p>
    <w:p>
      <w:pPr>
        <w:widowControl/>
        <w:spacing w:line="60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六、完善公共配套设施和提高服务水平</w:t>
      </w:r>
    </w:p>
    <w:p>
      <w:pPr>
        <w:widowControl/>
        <w:spacing w:line="600" w:lineRule="exact"/>
        <w:jc w:val="left"/>
        <w:rPr>
          <w:rFonts w:hint="eastAsia" w:ascii="仿宋_GB2312" w:eastAsia="仿宋_GB2312" w:cs="宋体"/>
          <w:color w:val="000000"/>
          <w:kern w:val="0"/>
          <w:sz w:val="32"/>
          <w:szCs w:val="32"/>
        </w:rPr>
      </w:pPr>
      <w:r>
        <w:rPr>
          <w:rFonts w:hint="eastAsia" w:hAnsi="宋体" w:eastAsia="方正仿宋_GBK" w:cs="宋体"/>
          <w:color w:val="000000"/>
          <w:kern w:val="0"/>
          <w:sz w:val="32"/>
          <w:szCs w:val="32"/>
        </w:rPr>
        <w:t>　</w:t>
      </w:r>
      <w:r>
        <w:rPr>
          <w:rFonts w:hint="eastAsia" w:ascii="仿宋_GB2312" w:hAnsi="宋体" w:eastAsia="仿宋_GB2312" w:cs="宋体"/>
          <w:color w:val="000000"/>
          <w:kern w:val="0"/>
          <w:sz w:val="32"/>
          <w:szCs w:val="32"/>
        </w:rPr>
        <w:t>　加快城镇基础设施尤其是县城城区道路、供电、供水、供气、园林绿化等基础设施以及学校、医院等公共服务设施建设</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确保同步规划、同步建设、同步投入使用。针对农民的生活方式和习惯设计合理户型</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优化人居环境</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提高住房品质</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增强对农民进城购房定居的吸引力和牵动力。</w:t>
      </w:r>
    </w:p>
    <w:p>
      <w:pPr>
        <w:widowControl/>
        <w:spacing w:line="60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七、维护进城农民既有权益</w:t>
      </w:r>
    </w:p>
    <w:p>
      <w:pPr>
        <w:widowControl/>
        <w:spacing w:line="600" w:lineRule="exact"/>
        <w:jc w:val="left"/>
        <w:rPr>
          <w:rFonts w:hint="eastAsia" w:ascii="仿宋_GB2312" w:eastAsia="仿宋_GB2312" w:cs="宋体"/>
          <w:color w:val="000000"/>
          <w:kern w:val="0"/>
          <w:sz w:val="32"/>
          <w:szCs w:val="32"/>
        </w:rPr>
      </w:pPr>
      <w:r>
        <w:rPr>
          <w:rFonts w:hint="eastAsia" w:hAnsi="宋体" w:eastAsia="方正仿宋_GBK" w:cs="宋体"/>
          <w:color w:val="000000"/>
          <w:kern w:val="0"/>
          <w:sz w:val="32"/>
          <w:szCs w:val="32"/>
        </w:rPr>
        <w:t>　　</w:t>
      </w:r>
      <w:r>
        <w:rPr>
          <w:rFonts w:hint="eastAsia" w:ascii="仿宋_GB2312" w:hAnsi="宋体" w:eastAsia="仿宋_GB2312" w:cs="宋体"/>
          <w:color w:val="000000"/>
          <w:kern w:val="0"/>
          <w:sz w:val="32"/>
          <w:szCs w:val="32"/>
        </w:rPr>
        <w:t>农民在县城或乡镇所在地购买商品住房的</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可自主选择在原籍或购房所在地申请城镇居民常住户口</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原享受的医疗、集体经济收益等权益不变</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申请城镇常住户口的</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其共同居住的父母、配偶、未婚子女可随迁进城办理城镇居民常住户口</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并保留原有宅基地</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依法享有宅基地使用权。</w:t>
      </w:r>
    </w:p>
    <w:p>
      <w:pPr>
        <w:widowControl/>
        <w:spacing w:line="600" w:lineRule="exact"/>
        <w:jc w:val="lef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　　对自愿退出宅基地并还耕、还林</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进城购买商品住房</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含二手住房</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的农民</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当地政府可按其退出合法宅基地的面积</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给予一次性补偿。</w:t>
      </w:r>
    </w:p>
    <w:p>
      <w:pPr>
        <w:widowControl/>
        <w:spacing w:line="60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八、降低购房成本</w:t>
      </w:r>
    </w:p>
    <w:p>
      <w:pPr>
        <w:widowControl/>
        <w:spacing w:line="600" w:lineRule="exact"/>
        <w:jc w:val="left"/>
        <w:rPr>
          <w:rFonts w:hint="eastAsia" w:ascii="仿宋_GB2312" w:eastAsia="仿宋_GB2312" w:cs="宋体"/>
          <w:color w:val="000000"/>
          <w:kern w:val="0"/>
          <w:sz w:val="32"/>
          <w:szCs w:val="32"/>
        </w:rPr>
      </w:pPr>
      <w:r>
        <w:rPr>
          <w:rFonts w:hint="eastAsia" w:hAnsi="宋体" w:eastAsia="方正仿宋_GBK" w:cs="宋体"/>
          <w:color w:val="000000"/>
          <w:kern w:val="0"/>
          <w:sz w:val="32"/>
          <w:szCs w:val="32"/>
        </w:rPr>
        <w:t>　　</w:t>
      </w:r>
      <w:r>
        <w:rPr>
          <w:rFonts w:hint="eastAsia" w:ascii="仿宋_GB2312" w:hAnsi="宋体" w:eastAsia="仿宋_GB2312" w:cs="宋体"/>
          <w:color w:val="000000"/>
          <w:kern w:val="0"/>
          <w:sz w:val="32"/>
          <w:szCs w:val="32"/>
        </w:rPr>
        <w:t>对商品住房库存较大、消化周期长的县</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市、区</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当地政府及其房管部门要增强服务意识</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积极组织进城农民采取团购等方式购买商品住房</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降低购房成本</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减轻农民购房负担</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团购超过一定规模的</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政府可适当给予一定比例补贴。对农民进城购买新建商品住房和二手住房的</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当地政府可在国家规定标准的基础上</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进一步适当降低交易手续费收取标准。具体标准由各省辖市、县</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市、区</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财政、价格主管部门制定。</w:t>
      </w:r>
    </w:p>
    <w:p>
      <w:pPr>
        <w:widowControl/>
        <w:spacing w:line="600" w:lineRule="exac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　　九、强化服务管理</w:t>
      </w:r>
    </w:p>
    <w:p>
      <w:pPr>
        <w:widowControl/>
        <w:spacing w:line="600" w:lineRule="exact"/>
        <w:jc w:val="left"/>
        <w:rPr>
          <w:rFonts w:hint="eastAsia" w:ascii="仿宋_GB2312" w:eastAsia="仿宋_GB2312" w:cs="宋体"/>
          <w:color w:val="000000"/>
          <w:kern w:val="0"/>
          <w:sz w:val="32"/>
          <w:szCs w:val="32"/>
        </w:rPr>
      </w:pPr>
      <w:r>
        <w:rPr>
          <w:rFonts w:hint="eastAsia" w:hAnsi="宋体" w:eastAsia="方正仿宋_GBK" w:cs="宋体"/>
          <w:color w:val="000000"/>
          <w:kern w:val="0"/>
          <w:sz w:val="32"/>
          <w:szCs w:val="32"/>
        </w:rPr>
        <w:t>　　</w:t>
      </w:r>
      <w:r>
        <w:rPr>
          <w:rFonts w:hint="eastAsia" w:ascii="仿宋_GB2312" w:hAnsi="宋体" w:eastAsia="仿宋_GB2312" w:cs="宋体"/>
          <w:color w:val="000000"/>
          <w:kern w:val="0"/>
          <w:sz w:val="32"/>
          <w:szCs w:val="32"/>
        </w:rPr>
        <w:t>各地政府及有关部门要进一步加强宣传引导</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营造促进农民进城购房、扩大住房消费的浓厚氛围。要开通</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绿色</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通道</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制定便民措施</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简化办事流程</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提高工作效率</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为农民进城购房提供及时、便捷、高效服务。要进一步加大小产权房整治力度</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杜绝违法建设</w:t>
      </w:r>
      <w:r>
        <w:rPr>
          <w:rFonts w:hint="eastAsia" w:ascii="仿宋_GB2312" w:eastAsia="仿宋_GB2312" w:cs="宋体"/>
          <w:color w:val="000000"/>
          <w:kern w:val="0"/>
          <w:sz w:val="32"/>
          <w:szCs w:val="32"/>
        </w:rPr>
        <w:t>，</w:t>
      </w:r>
      <w:r>
        <w:rPr>
          <w:rFonts w:hint="eastAsia" w:ascii="仿宋_GB2312" w:hAnsi="宋体" w:eastAsia="仿宋_GB2312" w:cs="宋体"/>
          <w:color w:val="000000"/>
          <w:kern w:val="0"/>
          <w:sz w:val="32"/>
          <w:szCs w:val="32"/>
        </w:rPr>
        <w:t>维护群众合法权益和房地产市场秩序。</w:t>
      </w:r>
    </w:p>
    <w:p>
      <w:pPr>
        <w:widowControl/>
        <w:spacing w:line="600" w:lineRule="exact"/>
        <w:jc w:val="left"/>
        <w:rPr>
          <w:rFonts w:ascii="宋体" w:hAnsi="方正仿宋_GBK" w:cs="宋体"/>
          <w:color w:val="000000"/>
          <w:kern w:val="0"/>
          <w:sz w:val="32"/>
          <w:szCs w:val="32"/>
        </w:rPr>
      </w:pPr>
      <w:bookmarkStart w:id="0" w:name="_GoBack"/>
      <w:r>
        <w:rPr>
          <w:rFonts w:hint="eastAsia" w:hAnsi="宋体" w:eastAsia="方正仿宋_GBK" w:cs="宋体"/>
          <w:color w:val="000000"/>
          <w:kern w:val="0"/>
          <w:sz w:val="32"/>
          <w:szCs w:val="32"/>
        </w:rPr>
        <w:t>　　</w:t>
      </w:r>
    </w:p>
    <w:p>
      <w:pPr>
        <w:widowControl/>
        <w:spacing w:line="600" w:lineRule="exact"/>
        <w:jc w:val="left"/>
        <w:rPr>
          <w:rFonts w:hint="eastAsia" w:ascii="宋体" w:hAnsi="方正仿宋_GBK" w:cs="宋体"/>
          <w:color w:val="000000"/>
          <w:kern w:val="0"/>
          <w:sz w:val="32"/>
          <w:szCs w:val="32"/>
        </w:rPr>
      </w:pPr>
    </w:p>
    <w:p>
      <w:pPr>
        <w:widowControl/>
        <w:spacing w:line="600" w:lineRule="exact"/>
        <w:jc w:val="left"/>
        <w:rPr>
          <w:rFonts w:hint="eastAsia" w:ascii="宋体" w:hAnsi="方正仿宋_GBK" w:cs="宋体"/>
          <w:color w:val="000000"/>
          <w:kern w:val="0"/>
          <w:sz w:val="32"/>
          <w:szCs w:val="32"/>
        </w:rPr>
      </w:pPr>
    </w:p>
    <w:p>
      <w:pPr>
        <w:widowControl/>
        <w:spacing w:line="600" w:lineRule="exact"/>
        <w:jc w:val="left"/>
        <w:rPr>
          <w:rFonts w:hint="eastAsia" w:ascii="宋体" w:hAnsi="方正仿宋_GBK" w:cs="宋体"/>
          <w:color w:val="000000"/>
          <w:kern w:val="0"/>
          <w:sz w:val="32"/>
          <w:szCs w:val="32"/>
        </w:rPr>
      </w:pPr>
    </w:p>
    <w:p>
      <w:pPr>
        <w:widowControl/>
        <w:spacing w:line="600" w:lineRule="exact"/>
        <w:ind w:firstLine="4480" w:firstLineChars="1400"/>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河南省人民政府办公厅</w:t>
      </w:r>
    </w:p>
    <w:p>
      <w:pPr>
        <w:widowControl/>
        <w:spacing w:line="600" w:lineRule="exact"/>
        <w:rPr>
          <w:rFonts w:hint="eastAsia" w:ascii="仿宋_GB2312"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方正仿宋_GBK" w:eastAsia="仿宋_GB2312" w:cs="宋体"/>
          <w:color w:val="000000"/>
          <w:kern w:val="0"/>
          <w:sz w:val="32"/>
          <w:szCs w:val="32"/>
        </w:rPr>
        <w:t xml:space="preserve">                           </w:t>
      </w:r>
      <w:r>
        <w:rPr>
          <w:rFonts w:hint="eastAsia" w:ascii="仿宋_GB2312" w:hAnsi="宋体" w:eastAsia="仿宋_GB2312" w:cs="宋体"/>
          <w:color w:val="000000"/>
          <w:kern w:val="0"/>
          <w:sz w:val="32"/>
          <w:szCs w:val="32"/>
        </w:rPr>
        <w:t>　2015年10月22日</w:t>
      </w: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bookmarkEnd w:id="0"/>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B16E9"/>
    <w:rsid w:val="6DAB16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2016-07-25T02:58:00Z</dcterms:created>
  <dc:creator>Administrator</dc:creator>
  <cp:lastModifiedBy>Administrator</cp:lastModifiedBy>
  <dcterms:modified xsi:type="dcterms:W3CDTF">2016-07-25T02:59:26Z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