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附件</w:t>
      </w:r>
      <w:r>
        <w:rPr>
          <w:rFonts w:ascii="仿宋_GB2312" w:hAnsi="仿宋" w:eastAsia="仿宋_GB2312"/>
          <w:color w:val="000000"/>
          <w:kern w:val="0"/>
          <w:sz w:val="32"/>
          <w:szCs w:val="32"/>
        </w:rPr>
        <w:t>1</w:t>
      </w:r>
    </w:p>
    <w:p>
      <w:pPr>
        <w:widowControl/>
        <w:jc w:val="left"/>
        <w:rPr>
          <w:rFonts w:ascii="仿宋" w:hAnsi="仿宋" w:eastAsia="仿宋"/>
          <w:color w:val="000000"/>
          <w:kern w:val="0"/>
          <w:sz w:val="32"/>
          <w:szCs w:val="32"/>
        </w:rPr>
      </w:pPr>
    </w:p>
    <w:p>
      <w:pPr>
        <w:adjustRightInd w:val="0"/>
        <w:snapToGrid w:val="0"/>
        <w:spacing w:afterLines="60"/>
        <w:jc w:val="center"/>
        <w:rPr>
          <w:rFonts w:ascii="方正小标宋简体" w:hAnsi="黑体" w:eastAsia="方正小标宋简体" w:cs="宋体"/>
          <w:bCs/>
          <w:color w:val="000000"/>
          <w:kern w:val="0"/>
          <w:sz w:val="44"/>
          <w:szCs w:val="44"/>
        </w:rPr>
      </w:pPr>
      <w:bookmarkStart w:id="0" w:name="_GoBack"/>
      <w:r>
        <w:rPr>
          <w:rFonts w:hint="eastAsia" w:ascii="方正小标宋简体" w:hAnsi="黑体" w:eastAsia="方正小标宋简体" w:cs="宋体"/>
          <w:bCs/>
          <w:color w:val="000000"/>
          <w:kern w:val="0"/>
          <w:sz w:val="44"/>
          <w:szCs w:val="44"/>
        </w:rPr>
        <w:t>潢川县乡镇（办事处）政府创建义务教育</w:t>
      </w:r>
    </w:p>
    <w:p>
      <w:pPr>
        <w:adjustRightInd w:val="0"/>
        <w:snapToGrid w:val="0"/>
        <w:spacing w:afterLines="60"/>
        <w:jc w:val="center"/>
        <w:rPr>
          <w:rFonts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发展基本均衡县工作情况考评表</w:t>
      </w:r>
    </w:p>
    <w:bookmarkEnd w:id="0"/>
    <w:p>
      <w:pPr>
        <w:adjustRightInd w:val="0"/>
        <w:snapToGrid w:val="0"/>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考评乡镇（办事处）：</w:t>
      </w:r>
      <w:r>
        <w:rPr>
          <w:rFonts w:ascii="仿宋" w:hAnsi="仿宋" w:eastAsia="仿宋" w:cs="仿宋"/>
          <w:bCs/>
          <w:color w:val="000000"/>
          <w:kern w:val="0"/>
          <w:sz w:val="28"/>
          <w:szCs w:val="28"/>
          <w:u w:val="single"/>
        </w:rPr>
        <w:t xml:space="preserve">                     </w:t>
      </w:r>
      <w:r>
        <w:rPr>
          <w:rFonts w:ascii="仿宋" w:hAnsi="仿宋" w:eastAsia="仿宋" w:cs="仿宋"/>
          <w:bCs/>
          <w:color w:val="000000"/>
          <w:kern w:val="0"/>
          <w:sz w:val="28"/>
          <w:szCs w:val="28"/>
        </w:rPr>
        <w:t xml:space="preserve">  </w:t>
      </w:r>
      <w:r>
        <w:rPr>
          <w:rFonts w:hint="eastAsia" w:ascii="仿宋" w:hAnsi="仿宋" w:eastAsia="仿宋" w:cs="仿宋"/>
          <w:bCs/>
          <w:color w:val="000000"/>
          <w:kern w:val="0"/>
          <w:sz w:val="28"/>
          <w:szCs w:val="28"/>
        </w:rPr>
        <w:t>考评得分：</w:t>
      </w:r>
      <w:r>
        <w:rPr>
          <w:rFonts w:ascii="仿宋" w:hAnsi="仿宋" w:eastAsia="仿宋" w:cs="仿宋"/>
          <w:bCs/>
          <w:color w:val="000000"/>
          <w:kern w:val="0"/>
          <w:sz w:val="28"/>
          <w:szCs w:val="28"/>
          <w:u w:val="single"/>
        </w:rPr>
        <w:t xml:space="preserve">             </w:t>
      </w:r>
    </w:p>
    <w:tbl>
      <w:tblPr>
        <w:tblStyle w:val="3"/>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7"/>
        <w:gridCol w:w="2966"/>
        <w:gridCol w:w="732"/>
        <w:gridCol w:w="4276"/>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0" w:hRule="atLeast"/>
          <w:tblHeader/>
          <w:jc w:val="center"/>
        </w:trPr>
        <w:tc>
          <w:tcPr>
            <w:tcW w:w="667" w:type="dxa"/>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一级</w:t>
            </w:r>
          </w:p>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指标</w:t>
            </w:r>
          </w:p>
        </w:tc>
        <w:tc>
          <w:tcPr>
            <w:tcW w:w="2966" w:type="dxa"/>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二级指标</w:t>
            </w:r>
          </w:p>
        </w:tc>
        <w:tc>
          <w:tcPr>
            <w:tcW w:w="732" w:type="dxa"/>
            <w:vAlign w:val="center"/>
          </w:tcPr>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分值</w:t>
            </w:r>
          </w:p>
        </w:tc>
        <w:tc>
          <w:tcPr>
            <w:tcW w:w="4276" w:type="dxa"/>
            <w:vAlign w:val="center"/>
          </w:tcPr>
          <w:p>
            <w:pPr>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评估标准</w:t>
            </w:r>
          </w:p>
        </w:tc>
        <w:tc>
          <w:tcPr>
            <w:tcW w:w="648" w:type="dxa"/>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1" w:hRule="atLeast"/>
          <w:jc w:val="center"/>
        </w:trPr>
        <w:tc>
          <w:tcPr>
            <w:tcW w:w="667" w:type="dxa"/>
            <w:vMerge w:val="restart"/>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s="宋体"/>
                <w:color w:val="000000"/>
                <w:kern w:val="0"/>
                <w:szCs w:val="21"/>
              </w:rPr>
              <w:t>（一）组织领导（</w:t>
            </w:r>
            <w:r>
              <w:rPr>
                <w:rFonts w:ascii="华文仿宋" w:hAnsi="华文仿宋" w:eastAsia="华文仿宋" w:cs="宋体"/>
                <w:color w:val="000000"/>
                <w:kern w:val="0"/>
                <w:szCs w:val="21"/>
              </w:rPr>
              <w:t>20</w:t>
            </w:r>
            <w:r>
              <w:rPr>
                <w:rFonts w:hint="eastAsia" w:ascii="华文仿宋" w:hAnsi="华文仿宋" w:eastAsia="华文仿宋" w:cs="宋体"/>
                <w:color w:val="000000"/>
                <w:kern w:val="0"/>
                <w:szCs w:val="21"/>
              </w:rPr>
              <w:t>）</w:t>
            </w:r>
          </w:p>
        </w:tc>
        <w:tc>
          <w:tcPr>
            <w:tcW w:w="2966"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1.</w:t>
            </w:r>
            <w:r>
              <w:rPr>
                <w:rFonts w:hint="eastAsia" w:ascii="华文仿宋" w:hAnsi="华文仿宋" w:eastAsia="华文仿宋" w:cs="宋体"/>
                <w:color w:val="000000"/>
                <w:kern w:val="0"/>
                <w:szCs w:val="21"/>
              </w:rPr>
              <w:t>建立和完善组织建设，</w:t>
            </w:r>
          </w:p>
          <w:p>
            <w:pPr>
              <w:widowControl/>
              <w:adjustRightInd w:val="0"/>
              <w:snapToGrid w:val="0"/>
              <w:ind w:left="31680" w:hangingChars="100" w:firstLine="31680"/>
              <w:jc w:val="center"/>
              <w:rPr>
                <w:rFonts w:ascii="华文仿宋" w:hAnsi="华文仿宋" w:eastAsia="华文仿宋"/>
                <w:color w:val="000000"/>
                <w:szCs w:val="21"/>
              </w:rPr>
            </w:pPr>
            <w:r>
              <w:rPr>
                <w:rFonts w:hint="eastAsia" w:ascii="华文仿宋" w:hAnsi="华文仿宋" w:eastAsia="华文仿宋" w:cs="宋体"/>
                <w:color w:val="000000"/>
                <w:kern w:val="0"/>
                <w:szCs w:val="21"/>
              </w:rPr>
              <w:t>强化领导</w:t>
            </w:r>
          </w:p>
        </w:tc>
        <w:tc>
          <w:tcPr>
            <w:tcW w:w="732"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10</w:t>
            </w:r>
          </w:p>
        </w:tc>
        <w:tc>
          <w:tcPr>
            <w:tcW w:w="4276" w:type="dxa"/>
            <w:vAlign w:val="center"/>
          </w:tcPr>
          <w:p>
            <w:pPr>
              <w:adjustRightInd w:val="0"/>
              <w:snapToGrid w:val="0"/>
              <w:spacing w:line="360" w:lineRule="exact"/>
              <w:rPr>
                <w:rFonts w:ascii="华文仿宋" w:hAnsi="华文仿宋" w:eastAsia="华文仿宋"/>
                <w:color w:val="000000"/>
                <w:szCs w:val="21"/>
              </w:rPr>
            </w:pPr>
            <w:r>
              <w:rPr>
                <w:rFonts w:hint="eastAsia" w:ascii="华文仿宋" w:hAnsi="华文仿宋" w:eastAsia="华文仿宋"/>
                <w:color w:val="000000"/>
                <w:szCs w:val="21"/>
              </w:rPr>
              <w:t>成立或调整乡镇（场）、街道办事处义务教育发展基本均衡县创建工作领导小组。</w:t>
            </w:r>
          </w:p>
          <w:p>
            <w:pPr>
              <w:adjustRightInd w:val="0"/>
              <w:snapToGrid w:val="0"/>
              <w:spacing w:line="360" w:lineRule="exact"/>
              <w:rPr>
                <w:rFonts w:ascii="华文仿宋" w:hAnsi="华文仿宋" w:eastAsia="华文仿宋"/>
                <w:color w:val="000000"/>
                <w:szCs w:val="21"/>
              </w:rPr>
            </w:pPr>
          </w:p>
        </w:tc>
        <w:tc>
          <w:tcPr>
            <w:tcW w:w="648" w:type="dxa"/>
            <w:vAlign w:val="center"/>
          </w:tcPr>
          <w:p>
            <w:pPr>
              <w:widowControl/>
              <w:adjustRightInd w:val="0"/>
              <w:snapToGrid w:val="0"/>
              <w:jc w:val="center"/>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9"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ind w:left="31680" w:hangingChars="100" w:firstLine="31680"/>
              <w:jc w:val="center"/>
              <w:rPr>
                <w:rFonts w:ascii="华文仿宋" w:hAnsi="华文仿宋" w:eastAsia="华文仿宋"/>
                <w:color w:val="000000"/>
                <w:szCs w:val="21"/>
              </w:rPr>
            </w:pPr>
            <w:r>
              <w:rPr>
                <w:rFonts w:ascii="华文仿宋" w:hAnsi="华文仿宋" w:eastAsia="华文仿宋" w:cs="宋体"/>
                <w:color w:val="000000"/>
                <w:kern w:val="0"/>
                <w:szCs w:val="21"/>
              </w:rPr>
              <w:t>2.</w:t>
            </w:r>
            <w:r>
              <w:rPr>
                <w:rFonts w:hint="eastAsia" w:ascii="华文仿宋" w:hAnsi="华文仿宋" w:eastAsia="华文仿宋" w:cs="宋体"/>
                <w:color w:val="000000"/>
                <w:kern w:val="0"/>
                <w:szCs w:val="21"/>
              </w:rPr>
              <w:t>督查指导</w:t>
            </w:r>
          </w:p>
        </w:tc>
        <w:tc>
          <w:tcPr>
            <w:tcW w:w="732"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10</w:t>
            </w:r>
          </w:p>
        </w:tc>
        <w:tc>
          <w:tcPr>
            <w:tcW w:w="4276" w:type="dxa"/>
            <w:vAlign w:val="center"/>
          </w:tcPr>
          <w:p>
            <w:pPr>
              <w:adjustRightInd w:val="0"/>
              <w:snapToGrid w:val="0"/>
              <w:spacing w:line="360" w:lineRule="exact"/>
              <w:rPr>
                <w:rFonts w:ascii="华文仿宋" w:hAnsi="华文仿宋" w:eastAsia="华文仿宋"/>
                <w:color w:val="000000"/>
                <w:szCs w:val="21"/>
              </w:rPr>
            </w:pPr>
            <w:r>
              <w:rPr>
                <w:rFonts w:hint="eastAsia" w:ascii="华文仿宋" w:hAnsi="华文仿宋" w:eastAsia="华文仿宋"/>
                <w:color w:val="000000"/>
                <w:szCs w:val="21"/>
              </w:rPr>
              <w:t>了解、督查和帮助学校完成创建任务，逐项达标，查漏补缺，保证顺利通过省和国家评估认定。</w:t>
            </w:r>
          </w:p>
          <w:p>
            <w:pPr>
              <w:adjustRightInd w:val="0"/>
              <w:snapToGrid w:val="0"/>
              <w:spacing w:line="360" w:lineRule="exact"/>
              <w:rPr>
                <w:rFonts w:ascii="华文仿宋" w:hAnsi="华文仿宋" w:eastAsia="华文仿宋"/>
                <w:color w:val="000000"/>
                <w:szCs w:val="21"/>
              </w:rPr>
            </w:pPr>
          </w:p>
        </w:tc>
        <w:tc>
          <w:tcPr>
            <w:tcW w:w="648" w:type="dxa"/>
            <w:vAlign w:val="center"/>
          </w:tcPr>
          <w:p>
            <w:pPr>
              <w:widowControl/>
              <w:adjustRightInd w:val="0"/>
              <w:snapToGrid w:val="0"/>
              <w:jc w:val="center"/>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2" w:hRule="atLeast"/>
          <w:jc w:val="center"/>
        </w:trPr>
        <w:tc>
          <w:tcPr>
            <w:tcW w:w="667" w:type="dxa"/>
            <w:vMerge w:val="restart"/>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s="宋体"/>
                <w:color w:val="000000"/>
                <w:kern w:val="0"/>
                <w:szCs w:val="21"/>
              </w:rPr>
              <w:t>（二）保障机制（</w:t>
            </w:r>
            <w:r>
              <w:rPr>
                <w:rFonts w:ascii="华文仿宋" w:hAnsi="华文仿宋" w:eastAsia="华文仿宋" w:cs="宋体"/>
                <w:color w:val="000000"/>
                <w:kern w:val="0"/>
                <w:szCs w:val="21"/>
              </w:rPr>
              <w:t>40</w:t>
            </w:r>
            <w:r>
              <w:rPr>
                <w:rFonts w:hint="eastAsia" w:ascii="华文仿宋" w:hAnsi="华文仿宋" w:eastAsia="华文仿宋" w:cs="宋体"/>
                <w:color w:val="000000"/>
                <w:kern w:val="0"/>
                <w:szCs w:val="21"/>
              </w:rPr>
              <w:t>）</w:t>
            </w:r>
          </w:p>
        </w:tc>
        <w:tc>
          <w:tcPr>
            <w:tcW w:w="2966"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 xml:space="preserve">1. </w:t>
            </w:r>
            <w:r>
              <w:rPr>
                <w:rFonts w:hint="eastAsia" w:ascii="华文仿宋" w:hAnsi="华文仿宋" w:eastAsia="华文仿宋"/>
                <w:color w:val="000000"/>
                <w:szCs w:val="21"/>
              </w:rPr>
              <w:t>建立义务教育均衡发展责任、</w:t>
            </w:r>
          </w:p>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olor w:val="000000"/>
                <w:szCs w:val="21"/>
              </w:rPr>
              <w:t>监督和问责机制</w:t>
            </w:r>
          </w:p>
        </w:tc>
        <w:tc>
          <w:tcPr>
            <w:tcW w:w="732" w:type="dxa"/>
            <w:vAlign w:val="center"/>
          </w:tcPr>
          <w:p>
            <w:pPr>
              <w:widowControl/>
              <w:adjustRightInd w:val="0"/>
              <w:snapToGrid w:val="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10</w:t>
            </w:r>
          </w:p>
        </w:tc>
        <w:tc>
          <w:tcPr>
            <w:tcW w:w="4276" w:type="dxa"/>
            <w:vAlign w:val="center"/>
          </w:tcPr>
          <w:p>
            <w:pPr>
              <w:widowControl/>
              <w:adjustRightInd w:val="0"/>
              <w:snapToGrid w:val="0"/>
              <w:spacing w:line="360" w:lineRule="exact"/>
              <w:rPr>
                <w:rFonts w:ascii="华文仿宋" w:hAnsi="华文仿宋" w:eastAsia="华文仿宋"/>
                <w:color w:val="000000"/>
                <w:szCs w:val="21"/>
              </w:rPr>
            </w:pPr>
            <w:r>
              <w:rPr>
                <w:rFonts w:hint="eastAsia" w:ascii="华文仿宋" w:hAnsi="华文仿宋" w:eastAsia="华文仿宋"/>
                <w:color w:val="000000"/>
                <w:szCs w:val="21"/>
              </w:rPr>
              <w:t>明确党委、政府主要领导是推进义务教育均衡发展的第一责任人；将义务教育均衡发展纳入本地经济社会发展的总体规划，目标明确、措施得力；建立了义务教育均衡发展责任、监督和问责机制；政府和相关部门能依法履行教育职责。</w:t>
            </w:r>
          </w:p>
        </w:tc>
        <w:tc>
          <w:tcPr>
            <w:tcW w:w="648" w:type="dxa"/>
            <w:vAlign w:val="center"/>
          </w:tcPr>
          <w:p>
            <w:pPr>
              <w:widowControl/>
              <w:adjustRightInd w:val="0"/>
              <w:snapToGrid w:val="0"/>
              <w:jc w:val="center"/>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4"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ind w:left="31680" w:hangingChars="100" w:firstLine="31680"/>
              <w:jc w:val="center"/>
              <w:rPr>
                <w:rFonts w:ascii="华文仿宋" w:hAnsi="华文仿宋" w:eastAsia="华文仿宋"/>
                <w:color w:val="000000"/>
                <w:szCs w:val="21"/>
              </w:rPr>
            </w:pPr>
            <w:r>
              <w:rPr>
                <w:rFonts w:ascii="华文仿宋" w:hAnsi="华文仿宋" w:eastAsia="华文仿宋" w:cs="宋体"/>
                <w:color w:val="000000"/>
                <w:kern w:val="0"/>
                <w:szCs w:val="21"/>
              </w:rPr>
              <w:t>2.</w:t>
            </w:r>
            <w:r>
              <w:rPr>
                <w:rFonts w:ascii="华文仿宋" w:hAnsi="华文仿宋" w:eastAsia="华文仿宋"/>
                <w:color w:val="000000"/>
                <w:szCs w:val="21"/>
              </w:rPr>
              <w:t xml:space="preserve"> </w:t>
            </w:r>
            <w:r>
              <w:rPr>
                <w:rFonts w:hint="eastAsia" w:ascii="华文仿宋" w:hAnsi="华文仿宋" w:eastAsia="华文仿宋"/>
                <w:color w:val="000000"/>
                <w:szCs w:val="21"/>
              </w:rPr>
              <w:t>推进学校标准化建设，制定</w:t>
            </w:r>
          </w:p>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hint="eastAsia" w:ascii="华文仿宋" w:hAnsi="华文仿宋" w:eastAsia="华文仿宋"/>
                <w:color w:val="000000"/>
                <w:szCs w:val="21"/>
              </w:rPr>
              <w:t>并有效实施保障措施</w:t>
            </w:r>
          </w:p>
        </w:tc>
        <w:tc>
          <w:tcPr>
            <w:tcW w:w="732"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10</w:t>
            </w:r>
          </w:p>
        </w:tc>
        <w:tc>
          <w:tcPr>
            <w:tcW w:w="4276" w:type="dxa"/>
            <w:vAlign w:val="center"/>
          </w:tcPr>
          <w:p>
            <w:pPr>
              <w:adjustRightInd w:val="0"/>
              <w:snapToGrid w:val="0"/>
              <w:spacing w:line="360" w:lineRule="exact"/>
              <w:rPr>
                <w:rFonts w:ascii="华文仿宋" w:hAnsi="华文仿宋" w:eastAsia="华文仿宋"/>
                <w:color w:val="000000"/>
                <w:szCs w:val="21"/>
              </w:rPr>
            </w:pPr>
            <w:r>
              <w:rPr>
                <w:rFonts w:hint="eastAsia" w:ascii="华文仿宋" w:hAnsi="华文仿宋" w:eastAsia="华文仿宋"/>
                <w:color w:val="000000"/>
                <w:szCs w:val="21"/>
              </w:rPr>
              <w:t>科学制定学校布局规划，积极稳妥推进布局调整；解决中小学“大班额”问题成效突出。</w:t>
            </w:r>
          </w:p>
        </w:tc>
        <w:tc>
          <w:tcPr>
            <w:tcW w:w="648" w:type="dxa"/>
            <w:vAlign w:val="center"/>
          </w:tcPr>
          <w:p>
            <w:pPr>
              <w:widowControl/>
              <w:adjustRightInd w:val="0"/>
              <w:snapToGrid w:val="0"/>
              <w:jc w:val="center"/>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3"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3.</w:t>
            </w:r>
            <w:r>
              <w:rPr>
                <w:rFonts w:hint="eastAsia" w:ascii="华文仿宋" w:hAnsi="华文仿宋" w:eastAsia="华文仿宋" w:cs="宋体"/>
                <w:color w:val="000000"/>
                <w:kern w:val="0"/>
                <w:szCs w:val="21"/>
              </w:rPr>
              <w:t>维护学校周边环境，</w:t>
            </w:r>
          </w:p>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妥善解决矛盾</w:t>
            </w:r>
          </w:p>
        </w:tc>
        <w:tc>
          <w:tcPr>
            <w:tcW w:w="732" w:type="dxa"/>
            <w:vAlign w:val="center"/>
          </w:tcPr>
          <w:p>
            <w:pPr>
              <w:widowControl/>
              <w:adjustRightInd w:val="0"/>
              <w:snapToGrid w:val="0"/>
              <w:ind w:left="31680" w:hangingChars="100" w:firstLine="3168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20</w:t>
            </w:r>
          </w:p>
        </w:tc>
        <w:tc>
          <w:tcPr>
            <w:tcW w:w="4276" w:type="dxa"/>
            <w:vAlign w:val="center"/>
          </w:tcPr>
          <w:p>
            <w:pPr>
              <w:adjustRightInd w:val="0"/>
              <w:snapToGrid w:val="0"/>
              <w:spacing w:line="360" w:lineRule="exact"/>
              <w:rPr>
                <w:rFonts w:ascii="华文仿宋" w:hAnsi="华文仿宋" w:eastAsia="华文仿宋"/>
                <w:color w:val="000000"/>
                <w:szCs w:val="21"/>
              </w:rPr>
            </w:pPr>
            <w:r>
              <w:rPr>
                <w:rFonts w:hint="eastAsia" w:ascii="华文仿宋" w:hAnsi="华文仿宋" w:eastAsia="华文仿宋"/>
                <w:color w:val="000000"/>
                <w:szCs w:val="21"/>
              </w:rPr>
              <w:t>依法依规维护学校周边秩序，保护学生、教师、学校的合法权益，为学校提供安全保障。要协调解决义务教育均衡发展中涉及到的学校用地问题以及闲置校产处置所引发的纠纷等，要负责做好群众的思想工作，确保社会稳定，保障校建工程项目的落地及关注工程进度，净化环境。</w:t>
            </w:r>
          </w:p>
        </w:tc>
        <w:tc>
          <w:tcPr>
            <w:tcW w:w="648" w:type="dxa"/>
            <w:vAlign w:val="center"/>
          </w:tcPr>
          <w:p>
            <w:pPr>
              <w:widowControl/>
              <w:adjustRightInd w:val="0"/>
              <w:snapToGrid w:val="0"/>
              <w:jc w:val="center"/>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8" w:hRule="atLeast"/>
          <w:jc w:val="center"/>
        </w:trPr>
        <w:tc>
          <w:tcPr>
            <w:tcW w:w="667" w:type="dxa"/>
            <w:vMerge w:val="restart"/>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（三）入学</w:t>
            </w:r>
          </w:p>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olor w:val="000000"/>
                <w:szCs w:val="21"/>
              </w:rPr>
              <w:t>机会（</w:t>
            </w:r>
            <w:r>
              <w:rPr>
                <w:rFonts w:ascii="华文仿宋" w:hAnsi="华文仿宋" w:eastAsia="华文仿宋"/>
                <w:color w:val="000000"/>
                <w:szCs w:val="21"/>
              </w:rPr>
              <w:t>30</w:t>
            </w:r>
            <w:r>
              <w:rPr>
                <w:rFonts w:hint="eastAsia" w:ascii="华文仿宋" w:hAnsi="华文仿宋" w:eastAsia="华文仿宋"/>
                <w:color w:val="000000"/>
                <w:szCs w:val="21"/>
              </w:rPr>
              <w:t>）</w:t>
            </w:r>
          </w:p>
        </w:tc>
        <w:tc>
          <w:tcPr>
            <w:tcW w:w="2966" w:type="dxa"/>
            <w:vAlign w:val="center"/>
          </w:tcPr>
          <w:p>
            <w:pPr>
              <w:widowControl/>
              <w:numPr>
                <w:ilvl w:val="0"/>
                <w:numId w:val="1"/>
              </w:numPr>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将随迁子女就学纳入当地</w:t>
            </w:r>
          </w:p>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教育发展规划并妥善安置</w:t>
            </w:r>
          </w:p>
        </w:tc>
        <w:tc>
          <w:tcPr>
            <w:tcW w:w="732"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5</w:t>
            </w:r>
          </w:p>
        </w:tc>
        <w:tc>
          <w:tcPr>
            <w:tcW w:w="4276" w:type="dxa"/>
            <w:vAlign w:val="center"/>
          </w:tcPr>
          <w:p>
            <w:pPr>
              <w:widowControl/>
              <w:adjustRightInd w:val="0"/>
              <w:snapToGrid w:val="0"/>
              <w:spacing w:line="360" w:lineRule="exact"/>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乡镇（办事处）政府制定有随迁子女义务教育保障办法，并认真实施；坚持以流入地政府为主、公办学校为主，建立完善农民工子女学籍档案。</w:t>
            </w:r>
          </w:p>
        </w:tc>
        <w:tc>
          <w:tcPr>
            <w:tcW w:w="648" w:type="dxa"/>
            <w:vAlign w:val="center"/>
          </w:tcPr>
          <w:p>
            <w:pPr>
              <w:widowControl/>
              <w:adjustRightInd w:val="0"/>
              <w:snapToGrid w:val="0"/>
              <w:spacing w:line="360" w:lineRule="exact"/>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2"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2</w:t>
            </w:r>
            <w:r>
              <w:rPr>
                <w:rFonts w:hint="eastAsia" w:ascii="华文仿宋" w:hAnsi="华文仿宋" w:eastAsia="华文仿宋" w:cs="宋体"/>
                <w:color w:val="000000"/>
                <w:kern w:val="0"/>
                <w:szCs w:val="21"/>
              </w:rPr>
              <w:t>．建立以政府为主导、社会各方面广泛参与的留守儿童关爱体系</w:t>
            </w:r>
          </w:p>
        </w:tc>
        <w:tc>
          <w:tcPr>
            <w:tcW w:w="732"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10</w:t>
            </w:r>
          </w:p>
        </w:tc>
        <w:tc>
          <w:tcPr>
            <w:tcW w:w="4276" w:type="dxa"/>
            <w:vAlign w:val="center"/>
          </w:tcPr>
          <w:p>
            <w:pPr>
              <w:widowControl/>
              <w:adjustRightInd w:val="0"/>
              <w:snapToGrid w:val="0"/>
              <w:spacing w:line="360" w:lineRule="exact"/>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乡镇（办事处）政府及相关部门制定有关爱留守儿童工作措施，并且落实较好；农村义务教育学校建立留守儿童之家或实施了其它具体的关爱留守儿童措施，效果较好。</w:t>
            </w:r>
          </w:p>
        </w:tc>
        <w:tc>
          <w:tcPr>
            <w:tcW w:w="648" w:type="dxa"/>
            <w:vAlign w:val="center"/>
          </w:tcPr>
          <w:p>
            <w:pPr>
              <w:widowControl/>
              <w:adjustRightInd w:val="0"/>
              <w:snapToGrid w:val="0"/>
              <w:spacing w:line="360" w:lineRule="exact"/>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4"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3.</w:t>
            </w:r>
            <w:r>
              <w:rPr>
                <w:rFonts w:hint="eastAsia" w:ascii="华文仿宋" w:hAnsi="华文仿宋" w:eastAsia="华文仿宋" w:cs="宋体"/>
                <w:color w:val="000000"/>
                <w:kern w:val="0"/>
                <w:szCs w:val="21"/>
              </w:rPr>
              <w:t>三类残疾儿童少年入学率</w:t>
            </w:r>
          </w:p>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不低于</w:t>
            </w:r>
            <w:r>
              <w:rPr>
                <w:rFonts w:ascii="华文仿宋" w:hAnsi="华文仿宋" w:eastAsia="华文仿宋" w:cs="宋体"/>
                <w:color w:val="000000"/>
                <w:kern w:val="0"/>
                <w:szCs w:val="21"/>
              </w:rPr>
              <w:t>90%</w:t>
            </w:r>
          </w:p>
        </w:tc>
        <w:tc>
          <w:tcPr>
            <w:tcW w:w="732"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5</w:t>
            </w:r>
          </w:p>
        </w:tc>
        <w:tc>
          <w:tcPr>
            <w:tcW w:w="4276" w:type="dxa"/>
            <w:vAlign w:val="center"/>
          </w:tcPr>
          <w:p>
            <w:pPr>
              <w:widowControl/>
              <w:adjustRightInd w:val="0"/>
              <w:snapToGrid w:val="0"/>
              <w:spacing w:line="360" w:lineRule="exact"/>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积极推进随班就读支持保障体系建设，三类残疾儿童入学率不低于</w:t>
            </w:r>
            <w:r>
              <w:rPr>
                <w:rFonts w:ascii="华文仿宋" w:hAnsi="华文仿宋" w:eastAsia="华文仿宋" w:cs="宋体"/>
                <w:color w:val="000000"/>
                <w:kern w:val="0"/>
                <w:szCs w:val="21"/>
              </w:rPr>
              <w:t>90%</w:t>
            </w:r>
            <w:r>
              <w:rPr>
                <w:rFonts w:hint="eastAsia" w:ascii="华文仿宋" w:hAnsi="华文仿宋" w:eastAsia="华文仿宋" w:cs="宋体"/>
                <w:color w:val="000000"/>
                <w:kern w:val="0"/>
                <w:szCs w:val="21"/>
              </w:rPr>
              <w:t>；三类残疾儿童入学率在</w:t>
            </w:r>
            <w:r>
              <w:rPr>
                <w:rFonts w:ascii="华文仿宋" w:hAnsi="华文仿宋" w:eastAsia="华文仿宋" w:cs="宋体"/>
                <w:color w:val="000000"/>
                <w:kern w:val="0"/>
                <w:szCs w:val="21"/>
              </w:rPr>
              <w:t>80%--90%</w:t>
            </w:r>
            <w:r>
              <w:rPr>
                <w:rFonts w:hint="eastAsia" w:ascii="华文仿宋" w:hAnsi="华文仿宋" w:eastAsia="华文仿宋" w:cs="宋体"/>
                <w:color w:val="000000"/>
                <w:kern w:val="0"/>
                <w:szCs w:val="21"/>
              </w:rPr>
              <w:t>；三类残疾儿童入学率低于</w:t>
            </w:r>
            <w:r>
              <w:rPr>
                <w:rFonts w:ascii="华文仿宋" w:hAnsi="华文仿宋" w:eastAsia="华文仿宋" w:cs="宋体"/>
                <w:color w:val="000000"/>
                <w:kern w:val="0"/>
                <w:szCs w:val="21"/>
              </w:rPr>
              <w:t>70%</w:t>
            </w:r>
            <w:r>
              <w:rPr>
                <w:rFonts w:hint="eastAsia" w:ascii="华文仿宋" w:hAnsi="华文仿宋" w:eastAsia="华文仿宋" w:cs="宋体"/>
                <w:color w:val="000000"/>
                <w:kern w:val="0"/>
                <w:szCs w:val="21"/>
              </w:rPr>
              <w:t>，不得分。</w:t>
            </w:r>
          </w:p>
        </w:tc>
        <w:tc>
          <w:tcPr>
            <w:tcW w:w="648" w:type="dxa"/>
            <w:vAlign w:val="center"/>
          </w:tcPr>
          <w:p>
            <w:pPr>
              <w:widowControl/>
              <w:adjustRightInd w:val="0"/>
              <w:snapToGrid w:val="0"/>
              <w:spacing w:line="360" w:lineRule="exact"/>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jc w:val="center"/>
        </w:trPr>
        <w:tc>
          <w:tcPr>
            <w:tcW w:w="667" w:type="dxa"/>
            <w:vMerge w:val="continue"/>
            <w:vAlign w:val="center"/>
          </w:tcPr>
          <w:p>
            <w:pPr>
              <w:widowControl/>
              <w:adjustRightInd w:val="0"/>
              <w:snapToGrid w:val="0"/>
              <w:jc w:val="center"/>
              <w:rPr>
                <w:rFonts w:ascii="华文仿宋" w:hAnsi="华文仿宋" w:eastAsia="华文仿宋"/>
                <w:color w:val="000000"/>
                <w:szCs w:val="21"/>
              </w:rPr>
            </w:pPr>
          </w:p>
        </w:tc>
        <w:tc>
          <w:tcPr>
            <w:tcW w:w="2966" w:type="dxa"/>
            <w:vAlign w:val="center"/>
          </w:tcPr>
          <w:p>
            <w:pPr>
              <w:widowControl/>
              <w:adjustRightInd w:val="0"/>
              <w:snapToGrid w:val="0"/>
              <w:jc w:val="center"/>
              <w:rPr>
                <w:rFonts w:ascii="华文仿宋" w:hAnsi="华文仿宋" w:eastAsia="华文仿宋" w:cs="宋体"/>
                <w:color w:val="000000"/>
                <w:kern w:val="0"/>
                <w:szCs w:val="21"/>
              </w:rPr>
            </w:pPr>
            <w:r>
              <w:rPr>
                <w:rFonts w:ascii="华文仿宋" w:hAnsi="华文仿宋" w:eastAsia="华文仿宋" w:cs="宋体"/>
                <w:color w:val="000000"/>
                <w:kern w:val="0"/>
                <w:szCs w:val="21"/>
              </w:rPr>
              <w:t>4.</w:t>
            </w:r>
            <w:r>
              <w:rPr>
                <w:rFonts w:hint="eastAsia" w:ascii="华文仿宋" w:hAnsi="华文仿宋" w:eastAsia="华文仿宋" w:cs="宋体"/>
                <w:color w:val="000000"/>
                <w:kern w:val="0"/>
                <w:szCs w:val="21"/>
              </w:rPr>
              <w:t>适龄儿童、少年入学保障</w:t>
            </w:r>
          </w:p>
        </w:tc>
        <w:tc>
          <w:tcPr>
            <w:tcW w:w="732"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10</w:t>
            </w:r>
          </w:p>
        </w:tc>
        <w:tc>
          <w:tcPr>
            <w:tcW w:w="4276" w:type="dxa"/>
            <w:vAlign w:val="center"/>
          </w:tcPr>
          <w:p>
            <w:pPr>
              <w:widowControl/>
              <w:adjustRightInd w:val="0"/>
              <w:snapToGrid w:val="0"/>
              <w:spacing w:line="420" w:lineRule="exact"/>
              <w:rPr>
                <w:rFonts w:ascii="华文仿宋" w:hAnsi="华文仿宋" w:eastAsia="华文仿宋" w:cs="宋体"/>
                <w:color w:val="000000"/>
                <w:kern w:val="0"/>
                <w:szCs w:val="21"/>
              </w:rPr>
            </w:pPr>
            <w:r>
              <w:rPr>
                <w:rFonts w:ascii="华文仿宋" w:hAnsi="华文仿宋" w:eastAsia="华文仿宋" w:cs="宋体"/>
                <w:color w:val="000000"/>
                <w:kern w:val="0"/>
                <w:szCs w:val="21"/>
              </w:rPr>
              <w:t xml:space="preserve">  </w:t>
            </w:r>
            <w:r>
              <w:rPr>
                <w:rFonts w:hint="eastAsia" w:ascii="华文仿宋" w:hAnsi="华文仿宋" w:eastAsia="华文仿宋" w:cs="宋体"/>
                <w:color w:val="000000"/>
                <w:kern w:val="0"/>
                <w:szCs w:val="21"/>
              </w:rPr>
              <w:t>积极发动和保障辖区内适龄儿童、少年在户籍所在地学校及时、足额、就近入学（包括家庭困难和残疾儿童、少年）完成九年义务教育，提高在校生巩固率，严防辍学现象发生。确保每一名少年、儿童受到良好教育，得到健康成长。</w:t>
            </w:r>
          </w:p>
        </w:tc>
        <w:tc>
          <w:tcPr>
            <w:tcW w:w="648" w:type="dxa"/>
            <w:vAlign w:val="center"/>
          </w:tcPr>
          <w:p>
            <w:pPr>
              <w:widowControl/>
              <w:adjustRightInd w:val="0"/>
              <w:snapToGrid w:val="0"/>
              <w:spacing w:line="360" w:lineRule="exact"/>
              <w:rPr>
                <w:rFonts w:ascii="华文仿宋" w:hAnsi="华文仿宋" w:eastAsia="华文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3" w:hRule="atLeast"/>
          <w:jc w:val="center"/>
        </w:trPr>
        <w:tc>
          <w:tcPr>
            <w:tcW w:w="667" w:type="dxa"/>
            <w:vAlign w:val="center"/>
          </w:tcPr>
          <w:p>
            <w:pPr>
              <w:widowControl/>
              <w:adjustRightInd w:val="0"/>
              <w:snapToGrid w:val="0"/>
              <w:jc w:val="center"/>
              <w:rPr>
                <w:rFonts w:ascii="华文仿宋" w:hAnsi="华文仿宋" w:eastAsia="华文仿宋"/>
                <w:color w:val="000000"/>
                <w:szCs w:val="21"/>
              </w:rPr>
            </w:pPr>
            <w:r>
              <w:rPr>
                <w:rFonts w:hint="eastAsia" w:ascii="华文仿宋" w:hAnsi="华文仿宋" w:eastAsia="华文仿宋"/>
                <w:color w:val="000000"/>
                <w:szCs w:val="21"/>
              </w:rPr>
              <w:t>（四）宣传工作（</w:t>
            </w:r>
            <w:r>
              <w:rPr>
                <w:rFonts w:ascii="华文仿宋" w:hAnsi="华文仿宋" w:eastAsia="华文仿宋"/>
                <w:color w:val="000000"/>
                <w:szCs w:val="21"/>
              </w:rPr>
              <w:t>10</w:t>
            </w:r>
            <w:r>
              <w:rPr>
                <w:rFonts w:hint="eastAsia" w:ascii="华文仿宋" w:hAnsi="华文仿宋" w:eastAsia="华文仿宋"/>
                <w:color w:val="000000"/>
                <w:szCs w:val="21"/>
              </w:rPr>
              <w:t>）</w:t>
            </w:r>
          </w:p>
        </w:tc>
        <w:tc>
          <w:tcPr>
            <w:tcW w:w="2966" w:type="dxa"/>
            <w:vAlign w:val="center"/>
          </w:tcPr>
          <w:p>
            <w:pPr>
              <w:widowControl/>
              <w:adjustRightInd w:val="0"/>
              <w:snapToGrid w:val="0"/>
              <w:jc w:val="center"/>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开展宣传工作，创设良好氛围</w:t>
            </w:r>
          </w:p>
        </w:tc>
        <w:tc>
          <w:tcPr>
            <w:tcW w:w="732" w:type="dxa"/>
            <w:vAlign w:val="center"/>
          </w:tcPr>
          <w:p>
            <w:pPr>
              <w:widowControl/>
              <w:adjustRightInd w:val="0"/>
              <w:snapToGrid w:val="0"/>
              <w:jc w:val="center"/>
              <w:rPr>
                <w:rFonts w:ascii="华文仿宋" w:hAnsi="华文仿宋" w:eastAsia="华文仿宋"/>
                <w:color w:val="000000"/>
                <w:szCs w:val="21"/>
              </w:rPr>
            </w:pPr>
            <w:r>
              <w:rPr>
                <w:rFonts w:ascii="华文仿宋" w:hAnsi="华文仿宋" w:eastAsia="华文仿宋"/>
                <w:color w:val="000000"/>
                <w:szCs w:val="21"/>
              </w:rPr>
              <w:t>10</w:t>
            </w:r>
          </w:p>
        </w:tc>
        <w:tc>
          <w:tcPr>
            <w:tcW w:w="4276" w:type="dxa"/>
            <w:vAlign w:val="center"/>
          </w:tcPr>
          <w:p>
            <w:pPr>
              <w:widowControl/>
              <w:adjustRightInd w:val="0"/>
              <w:snapToGrid w:val="0"/>
              <w:spacing w:line="420" w:lineRule="exact"/>
              <w:rPr>
                <w:rFonts w:ascii="华文仿宋" w:hAnsi="华文仿宋" w:eastAsia="华文仿宋" w:cs="宋体"/>
                <w:color w:val="000000"/>
                <w:kern w:val="0"/>
                <w:szCs w:val="21"/>
              </w:rPr>
            </w:pPr>
            <w:r>
              <w:rPr>
                <w:rFonts w:hint="eastAsia" w:ascii="华文仿宋" w:hAnsi="华文仿宋" w:eastAsia="华文仿宋" w:cs="宋体"/>
                <w:color w:val="000000"/>
                <w:kern w:val="0"/>
                <w:szCs w:val="21"/>
              </w:rPr>
              <w:t>各乡镇、办事处要在醒目位置、交通要道和人员聚集的地段刷写宣传标语</w:t>
            </w:r>
            <w:r>
              <w:rPr>
                <w:rFonts w:ascii="华文仿宋" w:hAnsi="华文仿宋" w:eastAsia="华文仿宋" w:cs="宋体"/>
                <w:color w:val="000000"/>
                <w:kern w:val="0"/>
                <w:szCs w:val="21"/>
              </w:rPr>
              <w:t>10</w:t>
            </w:r>
            <w:r>
              <w:rPr>
                <w:rFonts w:hint="eastAsia" w:ascii="华文仿宋" w:hAnsi="华文仿宋" w:eastAsia="华文仿宋" w:cs="宋体"/>
                <w:color w:val="000000"/>
                <w:kern w:val="0"/>
                <w:szCs w:val="21"/>
              </w:rPr>
              <w:t>条以上，要深入村组一线农户家中进行宣传，让广大群众充分认识推进义务教育均衡发展的重要意义，让全社会了解、关心和支持义务教育发展基本均衡县创建工作，形成良好而浓厚的尊师重教的社会氛围，共同营造全社会关心、重视、支持推进义务教育基本均衡发展创建的良好氛围，切实提高全社会的知晓率、参与率和满意率。</w:t>
            </w:r>
          </w:p>
          <w:p>
            <w:pPr>
              <w:widowControl/>
              <w:adjustRightInd w:val="0"/>
              <w:snapToGrid w:val="0"/>
              <w:spacing w:line="420" w:lineRule="exact"/>
              <w:rPr>
                <w:rFonts w:ascii="华文仿宋" w:hAnsi="华文仿宋" w:eastAsia="华文仿宋" w:cs="宋体"/>
                <w:color w:val="000000"/>
                <w:kern w:val="0"/>
                <w:szCs w:val="21"/>
              </w:rPr>
            </w:pPr>
          </w:p>
        </w:tc>
        <w:tc>
          <w:tcPr>
            <w:tcW w:w="648" w:type="dxa"/>
            <w:vAlign w:val="center"/>
          </w:tcPr>
          <w:p>
            <w:pPr>
              <w:widowControl/>
              <w:adjustRightInd w:val="0"/>
              <w:snapToGrid w:val="0"/>
              <w:spacing w:line="360" w:lineRule="exact"/>
              <w:rPr>
                <w:rFonts w:ascii="华文仿宋" w:hAnsi="华文仿宋" w:eastAsia="华文仿宋"/>
                <w:color w:val="00000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D5D"/>
    <w:multiLevelType w:val="multilevel"/>
    <w:tmpl w:val="056B0D5D"/>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E1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2017-05-05T00:19:36Z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