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D7" w:rsidRDefault="0058029F" w:rsidP="0058029F">
      <w:pPr>
        <w:jc w:val="center"/>
        <w:rPr>
          <w:rFonts w:asciiTheme="minorEastAsia" w:hAnsiTheme="minorEastAsia" w:hint="eastAsia"/>
          <w:sz w:val="32"/>
          <w:szCs w:val="32"/>
        </w:rPr>
      </w:pPr>
      <w:r>
        <w:rPr>
          <w:rFonts w:hint="eastAsia"/>
          <w:sz w:val="32"/>
          <w:szCs w:val="32"/>
        </w:rPr>
        <w:t>《河南省定价目录》豫发改价调</w:t>
      </w:r>
      <w:r>
        <w:rPr>
          <w:rFonts w:asciiTheme="minorEastAsia" w:hAnsiTheme="minorEastAsia" w:hint="eastAsia"/>
          <w:sz w:val="32"/>
          <w:szCs w:val="32"/>
        </w:rPr>
        <w:t>[2015]835号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8"/>
        <w:gridCol w:w="5245"/>
        <w:gridCol w:w="1701"/>
        <w:gridCol w:w="4706"/>
      </w:tblGrid>
      <w:tr w:rsidR="0058029F" w:rsidTr="00D8431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2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029F" w:rsidRPr="0058029F" w:rsidRDefault="0058029F" w:rsidP="0058029F">
            <w:pPr>
              <w:jc w:val="center"/>
              <w:rPr>
                <w:sz w:val="24"/>
                <w:szCs w:val="24"/>
              </w:rPr>
            </w:pPr>
            <w:r w:rsidRPr="0058029F">
              <w:rPr>
                <w:rFonts w:hint="eastAsia"/>
                <w:sz w:val="24"/>
                <w:szCs w:val="24"/>
              </w:rPr>
              <w:t>定价项目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vAlign w:val="center"/>
          </w:tcPr>
          <w:p w:rsidR="0058029F" w:rsidRPr="0058029F" w:rsidRDefault="0058029F" w:rsidP="0058029F">
            <w:pPr>
              <w:jc w:val="center"/>
              <w:rPr>
                <w:sz w:val="24"/>
                <w:szCs w:val="24"/>
              </w:rPr>
            </w:pPr>
            <w:r w:rsidRPr="0058029F">
              <w:rPr>
                <w:rFonts w:hint="eastAsia"/>
                <w:sz w:val="24"/>
                <w:szCs w:val="24"/>
              </w:rPr>
              <w:t>定价内容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58029F" w:rsidRPr="0058029F" w:rsidRDefault="0058029F" w:rsidP="0058029F">
            <w:pPr>
              <w:jc w:val="center"/>
              <w:rPr>
                <w:sz w:val="24"/>
                <w:szCs w:val="24"/>
              </w:rPr>
            </w:pPr>
            <w:r w:rsidRPr="0058029F">
              <w:rPr>
                <w:rFonts w:hint="eastAsia"/>
                <w:sz w:val="24"/>
                <w:szCs w:val="24"/>
              </w:rPr>
              <w:t>管理权限</w:t>
            </w:r>
          </w:p>
        </w:tc>
        <w:tc>
          <w:tcPr>
            <w:tcW w:w="47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029F" w:rsidRPr="0058029F" w:rsidRDefault="0058029F" w:rsidP="0058029F">
            <w:pPr>
              <w:jc w:val="center"/>
              <w:rPr>
                <w:sz w:val="24"/>
                <w:szCs w:val="24"/>
              </w:rPr>
            </w:pPr>
            <w:r w:rsidRPr="0058029F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58029F" w:rsidTr="00916B7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238" w:type="dxa"/>
            <w:tcBorders>
              <w:left w:val="single" w:sz="12" w:space="0" w:color="auto"/>
            </w:tcBorders>
            <w:vAlign w:val="center"/>
          </w:tcPr>
          <w:p w:rsidR="0058029F" w:rsidRPr="0058029F" w:rsidRDefault="0058029F" w:rsidP="0058029F">
            <w:pPr>
              <w:rPr>
                <w:sz w:val="24"/>
                <w:szCs w:val="24"/>
              </w:rPr>
            </w:pPr>
            <w:r w:rsidRPr="0058029F">
              <w:rPr>
                <w:rFonts w:hint="eastAsia"/>
                <w:sz w:val="24"/>
                <w:szCs w:val="24"/>
              </w:rPr>
              <w:t>天然气</w:t>
            </w:r>
          </w:p>
        </w:tc>
        <w:tc>
          <w:tcPr>
            <w:tcW w:w="5245" w:type="dxa"/>
            <w:vAlign w:val="center"/>
          </w:tcPr>
          <w:p w:rsidR="0058029F" w:rsidRPr="0058029F" w:rsidRDefault="0058029F" w:rsidP="00580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管理天然气配气价格和销售价格</w:t>
            </w:r>
          </w:p>
        </w:tc>
        <w:tc>
          <w:tcPr>
            <w:tcW w:w="1701" w:type="dxa"/>
            <w:vAlign w:val="center"/>
          </w:tcPr>
          <w:p w:rsidR="0058029F" w:rsidRPr="0058029F" w:rsidRDefault="0058029F" w:rsidP="005802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县级人民政府</w:t>
            </w:r>
          </w:p>
        </w:tc>
        <w:tc>
          <w:tcPr>
            <w:tcW w:w="4706" w:type="dxa"/>
            <w:tcBorders>
              <w:right w:val="single" w:sz="12" w:space="0" w:color="auto"/>
            </w:tcBorders>
            <w:vAlign w:val="center"/>
          </w:tcPr>
          <w:p w:rsidR="0058029F" w:rsidRPr="0058029F" w:rsidRDefault="0058029F" w:rsidP="00916B7E">
            <w:pPr>
              <w:rPr>
                <w:sz w:val="24"/>
                <w:szCs w:val="24"/>
              </w:rPr>
            </w:pPr>
          </w:p>
        </w:tc>
      </w:tr>
      <w:tr w:rsidR="00D84312" w:rsidTr="00916B7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238" w:type="dxa"/>
            <w:vMerge w:val="restart"/>
            <w:tcBorders>
              <w:left w:val="single" w:sz="12" w:space="0" w:color="auto"/>
            </w:tcBorders>
            <w:vAlign w:val="center"/>
          </w:tcPr>
          <w:p w:rsidR="00D84312" w:rsidRPr="0058029F" w:rsidRDefault="00D84312" w:rsidP="0058029F">
            <w:pPr>
              <w:rPr>
                <w:sz w:val="24"/>
                <w:szCs w:val="24"/>
              </w:rPr>
            </w:pPr>
            <w:r w:rsidRPr="0058029F">
              <w:rPr>
                <w:rFonts w:hint="eastAsia"/>
                <w:sz w:val="24"/>
                <w:szCs w:val="24"/>
              </w:rPr>
              <w:t>供排水</w:t>
            </w:r>
          </w:p>
        </w:tc>
        <w:tc>
          <w:tcPr>
            <w:tcW w:w="5245" w:type="dxa"/>
            <w:vAlign w:val="center"/>
          </w:tcPr>
          <w:p w:rsidR="00D84312" w:rsidRPr="0058029F" w:rsidRDefault="00D84312" w:rsidP="00580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县属的水利工程供水价格</w:t>
            </w:r>
          </w:p>
        </w:tc>
        <w:tc>
          <w:tcPr>
            <w:tcW w:w="1701" w:type="dxa"/>
            <w:vAlign w:val="center"/>
          </w:tcPr>
          <w:p w:rsidR="00D84312" w:rsidRDefault="00D84312" w:rsidP="0058029F">
            <w:pPr>
              <w:jc w:val="center"/>
            </w:pPr>
            <w:r w:rsidRPr="00957B41">
              <w:rPr>
                <w:rFonts w:hint="eastAsia"/>
                <w:sz w:val="24"/>
                <w:szCs w:val="24"/>
              </w:rPr>
              <w:t>县级人民政府</w:t>
            </w:r>
          </w:p>
        </w:tc>
        <w:tc>
          <w:tcPr>
            <w:tcW w:w="4706" w:type="dxa"/>
            <w:tcBorders>
              <w:right w:val="single" w:sz="12" w:space="0" w:color="auto"/>
            </w:tcBorders>
            <w:vAlign w:val="center"/>
          </w:tcPr>
          <w:p w:rsidR="00D84312" w:rsidRPr="00916B7E" w:rsidRDefault="00916B7E" w:rsidP="00916B7E">
            <w:pPr>
              <w:rPr>
                <w:spacing w:val="-4"/>
                <w:sz w:val="24"/>
                <w:szCs w:val="24"/>
              </w:rPr>
            </w:pPr>
            <w:r w:rsidRPr="00916B7E">
              <w:rPr>
                <w:rFonts w:hint="eastAsia"/>
                <w:spacing w:val="-4"/>
                <w:sz w:val="24"/>
                <w:szCs w:val="24"/>
              </w:rPr>
              <w:t>水利工程由用户自建</w:t>
            </w:r>
            <w:r>
              <w:rPr>
                <w:rFonts w:hint="eastAsia"/>
                <w:spacing w:val="-4"/>
                <w:sz w:val="24"/>
                <w:szCs w:val="24"/>
              </w:rPr>
              <w:t>自</w:t>
            </w:r>
            <w:r w:rsidRPr="00916B7E">
              <w:rPr>
                <w:rFonts w:hint="eastAsia"/>
                <w:spacing w:val="-4"/>
                <w:sz w:val="24"/>
                <w:szCs w:val="24"/>
              </w:rPr>
              <w:t>用的和供方与终端用户通过协议明确由双方协商定价的部分除外</w:t>
            </w:r>
          </w:p>
        </w:tc>
      </w:tr>
      <w:tr w:rsidR="00D84312" w:rsidTr="00916B7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238" w:type="dxa"/>
            <w:vMerge/>
            <w:tcBorders>
              <w:left w:val="single" w:sz="12" w:space="0" w:color="auto"/>
            </w:tcBorders>
            <w:vAlign w:val="center"/>
          </w:tcPr>
          <w:p w:rsidR="00D84312" w:rsidRPr="0058029F" w:rsidRDefault="00D84312" w:rsidP="0058029F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D84312" w:rsidRPr="0058029F" w:rsidRDefault="00D84312" w:rsidP="00580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公共管网供应的自来水销售价格</w:t>
            </w:r>
          </w:p>
        </w:tc>
        <w:tc>
          <w:tcPr>
            <w:tcW w:w="1701" w:type="dxa"/>
            <w:vAlign w:val="center"/>
          </w:tcPr>
          <w:p w:rsidR="00D84312" w:rsidRDefault="00D84312" w:rsidP="0058029F">
            <w:pPr>
              <w:jc w:val="center"/>
            </w:pPr>
            <w:r w:rsidRPr="00957B41">
              <w:rPr>
                <w:rFonts w:hint="eastAsia"/>
                <w:sz w:val="24"/>
                <w:szCs w:val="24"/>
              </w:rPr>
              <w:t>县级人民政府</w:t>
            </w:r>
          </w:p>
        </w:tc>
        <w:tc>
          <w:tcPr>
            <w:tcW w:w="4706" w:type="dxa"/>
            <w:tcBorders>
              <w:right w:val="single" w:sz="12" w:space="0" w:color="auto"/>
            </w:tcBorders>
            <w:vAlign w:val="center"/>
          </w:tcPr>
          <w:p w:rsidR="00D84312" w:rsidRPr="00916B7E" w:rsidRDefault="00916B7E" w:rsidP="00916B7E">
            <w:pPr>
              <w:rPr>
                <w:spacing w:val="-8"/>
                <w:sz w:val="24"/>
                <w:szCs w:val="24"/>
              </w:rPr>
            </w:pPr>
            <w:r w:rsidRPr="00916B7E">
              <w:rPr>
                <w:rFonts w:hint="eastAsia"/>
                <w:spacing w:val="-8"/>
                <w:sz w:val="24"/>
                <w:szCs w:val="24"/>
              </w:rPr>
              <w:t>不包括农村村民自建、自管的自来水销售价格</w:t>
            </w:r>
          </w:p>
        </w:tc>
      </w:tr>
      <w:tr w:rsidR="00D84312" w:rsidTr="00916B7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238" w:type="dxa"/>
            <w:vMerge w:val="restart"/>
            <w:tcBorders>
              <w:left w:val="single" w:sz="12" w:space="0" w:color="auto"/>
            </w:tcBorders>
            <w:vAlign w:val="center"/>
          </w:tcPr>
          <w:p w:rsidR="00D84312" w:rsidRPr="0058029F" w:rsidRDefault="00D84312" w:rsidP="0058029F">
            <w:pPr>
              <w:rPr>
                <w:sz w:val="24"/>
                <w:szCs w:val="24"/>
              </w:rPr>
            </w:pPr>
            <w:r w:rsidRPr="0058029F">
              <w:rPr>
                <w:rFonts w:hint="eastAsia"/>
                <w:sz w:val="24"/>
                <w:szCs w:val="24"/>
              </w:rPr>
              <w:t>道路运输价格</w:t>
            </w:r>
          </w:p>
        </w:tc>
        <w:tc>
          <w:tcPr>
            <w:tcW w:w="5245" w:type="dxa"/>
            <w:vAlign w:val="center"/>
          </w:tcPr>
          <w:p w:rsidR="00D84312" w:rsidRPr="0058029F" w:rsidRDefault="00D84312" w:rsidP="00580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道路班车客运票价、农村道路客运运价率及票价</w:t>
            </w:r>
          </w:p>
        </w:tc>
        <w:tc>
          <w:tcPr>
            <w:tcW w:w="1701" w:type="dxa"/>
            <w:vAlign w:val="center"/>
          </w:tcPr>
          <w:p w:rsidR="00D84312" w:rsidRDefault="00D84312" w:rsidP="0058029F">
            <w:pPr>
              <w:jc w:val="center"/>
            </w:pPr>
            <w:r w:rsidRPr="00957B41">
              <w:rPr>
                <w:rFonts w:hint="eastAsia"/>
                <w:sz w:val="24"/>
                <w:szCs w:val="24"/>
              </w:rPr>
              <w:t>县级人民政府</w:t>
            </w:r>
          </w:p>
        </w:tc>
        <w:tc>
          <w:tcPr>
            <w:tcW w:w="4706" w:type="dxa"/>
            <w:tcBorders>
              <w:right w:val="single" w:sz="12" w:space="0" w:color="auto"/>
            </w:tcBorders>
            <w:vAlign w:val="center"/>
          </w:tcPr>
          <w:p w:rsidR="00D84312" w:rsidRPr="0058029F" w:rsidRDefault="00D84312" w:rsidP="00916B7E">
            <w:pPr>
              <w:rPr>
                <w:sz w:val="24"/>
                <w:szCs w:val="24"/>
              </w:rPr>
            </w:pPr>
          </w:p>
        </w:tc>
      </w:tr>
      <w:tr w:rsidR="00D84312" w:rsidTr="00916B7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238" w:type="dxa"/>
            <w:vMerge/>
            <w:tcBorders>
              <w:left w:val="single" w:sz="12" w:space="0" w:color="auto"/>
            </w:tcBorders>
            <w:vAlign w:val="center"/>
          </w:tcPr>
          <w:p w:rsidR="00D84312" w:rsidRPr="0058029F" w:rsidRDefault="00D84312" w:rsidP="0058029F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D84312" w:rsidRPr="0058029F" w:rsidRDefault="00D84312" w:rsidP="00580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汽车客运站服务收费标准</w:t>
            </w:r>
          </w:p>
        </w:tc>
        <w:tc>
          <w:tcPr>
            <w:tcW w:w="1701" w:type="dxa"/>
            <w:vAlign w:val="center"/>
          </w:tcPr>
          <w:p w:rsidR="00D84312" w:rsidRDefault="00D84312" w:rsidP="0058029F">
            <w:pPr>
              <w:jc w:val="center"/>
            </w:pPr>
            <w:r w:rsidRPr="00957B41">
              <w:rPr>
                <w:rFonts w:hint="eastAsia"/>
                <w:sz w:val="24"/>
                <w:szCs w:val="24"/>
              </w:rPr>
              <w:t>县级人民政府</w:t>
            </w:r>
          </w:p>
        </w:tc>
        <w:tc>
          <w:tcPr>
            <w:tcW w:w="4706" w:type="dxa"/>
            <w:tcBorders>
              <w:right w:val="single" w:sz="12" w:space="0" w:color="auto"/>
            </w:tcBorders>
            <w:vAlign w:val="center"/>
          </w:tcPr>
          <w:p w:rsidR="00D84312" w:rsidRPr="0058029F" w:rsidRDefault="00916B7E" w:rsidP="00916B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定价范围为车辆站收费、旅客站务收费等收费项目</w:t>
            </w:r>
          </w:p>
        </w:tc>
      </w:tr>
      <w:tr w:rsidR="00D84312" w:rsidTr="00916B7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238" w:type="dxa"/>
            <w:vMerge w:val="restart"/>
            <w:tcBorders>
              <w:left w:val="single" w:sz="12" w:space="0" w:color="auto"/>
            </w:tcBorders>
            <w:vAlign w:val="center"/>
          </w:tcPr>
          <w:p w:rsidR="00D84312" w:rsidRPr="0058029F" w:rsidRDefault="00D84312" w:rsidP="0058029F">
            <w:pPr>
              <w:rPr>
                <w:sz w:val="24"/>
                <w:szCs w:val="24"/>
              </w:rPr>
            </w:pPr>
            <w:r w:rsidRPr="0058029F">
              <w:rPr>
                <w:rFonts w:hint="eastAsia"/>
                <w:sz w:val="24"/>
                <w:szCs w:val="24"/>
              </w:rPr>
              <w:t>城市交通价格</w:t>
            </w:r>
          </w:p>
        </w:tc>
        <w:tc>
          <w:tcPr>
            <w:tcW w:w="5245" w:type="dxa"/>
            <w:vAlign w:val="center"/>
          </w:tcPr>
          <w:p w:rsidR="00D84312" w:rsidRPr="0058029F" w:rsidRDefault="00D84312" w:rsidP="00580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城市公共汽（电）、轨道交通票价</w:t>
            </w:r>
          </w:p>
        </w:tc>
        <w:tc>
          <w:tcPr>
            <w:tcW w:w="1701" w:type="dxa"/>
            <w:vAlign w:val="center"/>
          </w:tcPr>
          <w:p w:rsidR="00D84312" w:rsidRDefault="00D84312" w:rsidP="0058029F">
            <w:pPr>
              <w:jc w:val="center"/>
            </w:pPr>
            <w:r w:rsidRPr="00957B41">
              <w:rPr>
                <w:rFonts w:hint="eastAsia"/>
                <w:sz w:val="24"/>
                <w:szCs w:val="24"/>
              </w:rPr>
              <w:t>县级人民政府</w:t>
            </w:r>
          </w:p>
        </w:tc>
        <w:tc>
          <w:tcPr>
            <w:tcW w:w="4706" w:type="dxa"/>
            <w:tcBorders>
              <w:right w:val="single" w:sz="12" w:space="0" w:color="auto"/>
            </w:tcBorders>
            <w:vAlign w:val="center"/>
          </w:tcPr>
          <w:p w:rsidR="00D84312" w:rsidRPr="0058029F" w:rsidRDefault="00D84312" w:rsidP="00916B7E">
            <w:pPr>
              <w:rPr>
                <w:sz w:val="24"/>
                <w:szCs w:val="24"/>
              </w:rPr>
            </w:pPr>
          </w:p>
        </w:tc>
      </w:tr>
      <w:tr w:rsidR="00D84312" w:rsidTr="00916B7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238" w:type="dxa"/>
            <w:vMerge/>
            <w:tcBorders>
              <w:left w:val="single" w:sz="12" w:space="0" w:color="auto"/>
            </w:tcBorders>
            <w:vAlign w:val="center"/>
          </w:tcPr>
          <w:p w:rsidR="00D84312" w:rsidRPr="0058029F" w:rsidRDefault="00D84312" w:rsidP="0058029F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D84312" w:rsidRPr="0058029F" w:rsidRDefault="00D84312" w:rsidP="00580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客运出租车运价、燃油附加费标准</w:t>
            </w:r>
          </w:p>
        </w:tc>
        <w:tc>
          <w:tcPr>
            <w:tcW w:w="1701" w:type="dxa"/>
            <w:vAlign w:val="center"/>
          </w:tcPr>
          <w:p w:rsidR="00D84312" w:rsidRDefault="00D84312" w:rsidP="0058029F">
            <w:pPr>
              <w:jc w:val="center"/>
            </w:pPr>
            <w:r w:rsidRPr="00957B41">
              <w:rPr>
                <w:rFonts w:hint="eastAsia"/>
                <w:sz w:val="24"/>
                <w:szCs w:val="24"/>
              </w:rPr>
              <w:t>县级人民政府</w:t>
            </w:r>
          </w:p>
        </w:tc>
        <w:tc>
          <w:tcPr>
            <w:tcW w:w="4706" w:type="dxa"/>
            <w:tcBorders>
              <w:right w:val="single" w:sz="12" w:space="0" w:color="auto"/>
            </w:tcBorders>
            <w:vAlign w:val="center"/>
          </w:tcPr>
          <w:p w:rsidR="00D84312" w:rsidRPr="0058029F" w:rsidRDefault="00D84312" w:rsidP="00916B7E">
            <w:pPr>
              <w:rPr>
                <w:sz w:val="24"/>
                <w:szCs w:val="24"/>
              </w:rPr>
            </w:pPr>
          </w:p>
        </w:tc>
      </w:tr>
      <w:tr w:rsidR="00D84312" w:rsidTr="00916B7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238" w:type="dxa"/>
            <w:vMerge/>
            <w:tcBorders>
              <w:left w:val="single" w:sz="12" w:space="0" w:color="auto"/>
            </w:tcBorders>
            <w:vAlign w:val="center"/>
          </w:tcPr>
          <w:p w:rsidR="00D84312" w:rsidRPr="0058029F" w:rsidRDefault="00D84312" w:rsidP="0058029F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D84312" w:rsidRPr="0058029F" w:rsidRDefault="00D84312" w:rsidP="00580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具有自然垄断经营特征的机动车停放服务收费标准</w:t>
            </w:r>
          </w:p>
        </w:tc>
        <w:tc>
          <w:tcPr>
            <w:tcW w:w="1701" w:type="dxa"/>
            <w:vAlign w:val="center"/>
          </w:tcPr>
          <w:p w:rsidR="00D84312" w:rsidRDefault="00D84312" w:rsidP="0058029F">
            <w:pPr>
              <w:jc w:val="center"/>
            </w:pPr>
            <w:r w:rsidRPr="00957B41">
              <w:rPr>
                <w:rFonts w:hint="eastAsia"/>
                <w:sz w:val="24"/>
                <w:szCs w:val="24"/>
              </w:rPr>
              <w:t>县级人民政府</w:t>
            </w:r>
          </w:p>
        </w:tc>
        <w:tc>
          <w:tcPr>
            <w:tcW w:w="4706" w:type="dxa"/>
            <w:tcBorders>
              <w:right w:val="single" w:sz="12" w:space="0" w:color="auto"/>
            </w:tcBorders>
            <w:vAlign w:val="center"/>
          </w:tcPr>
          <w:p w:rsidR="00D84312" w:rsidRPr="0058029F" w:rsidRDefault="00916B7E" w:rsidP="00916B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住宅小区停车服务除外</w:t>
            </w:r>
          </w:p>
        </w:tc>
      </w:tr>
      <w:tr w:rsidR="00D84312" w:rsidTr="00916B7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238" w:type="dxa"/>
            <w:vMerge w:val="restart"/>
            <w:tcBorders>
              <w:left w:val="single" w:sz="12" w:space="0" w:color="auto"/>
            </w:tcBorders>
            <w:vAlign w:val="center"/>
          </w:tcPr>
          <w:p w:rsidR="00D84312" w:rsidRPr="0058029F" w:rsidRDefault="00D84312" w:rsidP="0058029F">
            <w:pPr>
              <w:rPr>
                <w:sz w:val="24"/>
                <w:szCs w:val="24"/>
              </w:rPr>
            </w:pPr>
            <w:r w:rsidRPr="0058029F">
              <w:rPr>
                <w:rFonts w:hint="eastAsia"/>
                <w:sz w:val="24"/>
                <w:szCs w:val="24"/>
              </w:rPr>
              <w:t>房地产</w:t>
            </w:r>
          </w:p>
        </w:tc>
        <w:tc>
          <w:tcPr>
            <w:tcW w:w="5245" w:type="dxa"/>
            <w:vAlign w:val="center"/>
          </w:tcPr>
          <w:p w:rsidR="00D84312" w:rsidRPr="0058029F" w:rsidRDefault="00D84312" w:rsidP="00580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经济适用住房销售价格</w:t>
            </w:r>
          </w:p>
        </w:tc>
        <w:tc>
          <w:tcPr>
            <w:tcW w:w="1701" w:type="dxa"/>
            <w:vAlign w:val="center"/>
          </w:tcPr>
          <w:p w:rsidR="00D84312" w:rsidRDefault="00D84312" w:rsidP="0058029F">
            <w:pPr>
              <w:jc w:val="center"/>
            </w:pPr>
            <w:r w:rsidRPr="00957B41">
              <w:rPr>
                <w:rFonts w:hint="eastAsia"/>
                <w:sz w:val="24"/>
                <w:szCs w:val="24"/>
              </w:rPr>
              <w:t>县级人民政府</w:t>
            </w:r>
          </w:p>
        </w:tc>
        <w:tc>
          <w:tcPr>
            <w:tcW w:w="4706" w:type="dxa"/>
            <w:tcBorders>
              <w:right w:val="single" w:sz="12" w:space="0" w:color="auto"/>
            </w:tcBorders>
            <w:vAlign w:val="center"/>
          </w:tcPr>
          <w:p w:rsidR="00D84312" w:rsidRPr="0058029F" w:rsidRDefault="00D84312" w:rsidP="00916B7E">
            <w:pPr>
              <w:rPr>
                <w:sz w:val="24"/>
                <w:szCs w:val="24"/>
              </w:rPr>
            </w:pPr>
          </w:p>
        </w:tc>
      </w:tr>
      <w:tr w:rsidR="00D84312" w:rsidTr="00916B7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238" w:type="dxa"/>
            <w:vMerge/>
            <w:tcBorders>
              <w:left w:val="single" w:sz="12" w:space="0" w:color="auto"/>
            </w:tcBorders>
            <w:vAlign w:val="center"/>
          </w:tcPr>
          <w:p w:rsidR="00D84312" w:rsidRPr="0058029F" w:rsidRDefault="00D84312" w:rsidP="0058029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D84312" w:rsidRPr="0058029F" w:rsidRDefault="00D84312" w:rsidP="00580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公共租赁住房租金标准</w:t>
            </w:r>
          </w:p>
        </w:tc>
        <w:tc>
          <w:tcPr>
            <w:tcW w:w="1701" w:type="dxa"/>
            <w:vAlign w:val="center"/>
          </w:tcPr>
          <w:p w:rsidR="00D84312" w:rsidRDefault="00D84312" w:rsidP="0058029F">
            <w:pPr>
              <w:jc w:val="center"/>
            </w:pPr>
            <w:r w:rsidRPr="00957B41">
              <w:rPr>
                <w:rFonts w:hint="eastAsia"/>
                <w:sz w:val="24"/>
                <w:szCs w:val="24"/>
              </w:rPr>
              <w:t>县级人民政府</w:t>
            </w:r>
          </w:p>
        </w:tc>
        <w:tc>
          <w:tcPr>
            <w:tcW w:w="4706" w:type="dxa"/>
            <w:tcBorders>
              <w:right w:val="single" w:sz="12" w:space="0" w:color="auto"/>
            </w:tcBorders>
            <w:vAlign w:val="center"/>
          </w:tcPr>
          <w:p w:rsidR="00D84312" w:rsidRPr="0058029F" w:rsidRDefault="00D84312" w:rsidP="00916B7E">
            <w:pPr>
              <w:rPr>
                <w:sz w:val="24"/>
                <w:szCs w:val="24"/>
              </w:rPr>
            </w:pPr>
          </w:p>
        </w:tc>
      </w:tr>
      <w:tr w:rsidR="00D84312" w:rsidTr="00916B7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238" w:type="dxa"/>
            <w:vMerge/>
            <w:tcBorders>
              <w:left w:val="single" w:sz="12" w:space="0" w:color="auto"/>
            </w:tcBorders>
            <w:vAlign w:val="center"/>
          </w:tcPr>
          <w:p w:rsidR="00D84312" w:rsidRPr="0058029F" w:rsidRDefault="00D84312" w:rsidP="0058029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D84312" w:rsidRPr="0058029F" w:rsidRDefault="00D84312" w:rsidP="00580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保障性住房物业管理服务收费标准</w:t>
            </w:r>
          </w:p>
        </w:tc>
        <w:tc>
          <w:tcPr>
            <w:tcW w:w="1701" w:type="dxa"/>
            <w:vAlign w:val="center"/>
          </w:tcPr>
          <w:p w:rsidR="00D84312" w:rsidRDefault="00D84312" w:rsidP="0058029F">
            <w:pPr>
              <w:jc w:val="center"/>
            </w:pPr>
            <w:r w:rsidRPr="00957B41">
              <w:rPr>
                <w:rFonts w:hint="eastAsia"/>
                <w:sz w:val="24"/>
                <w:szCs w:val="24"/>
              </w:rPr>
              <w:t>县级人民政府</w:t>
            </w:r>
          </w:p>
        </w:tc>
        <w:tc>
          <w:tcPr>
            <w:tcW w:w="4706" w:type="dxa"/>
            <w:tcBorders>
              <w:right w:val="single" w:sz="12" w:space="0" w:color="auto"/>
            </w:tcBorders>
            <w:vAlign w:val="center"/>
          </w:tcPr>
          <w:p w:rsidR="00D84312" w:rsidRPr="0058029F" w:rsidRDefault="00D84312" w:rsidP="00916B7E">
            <w:pPr>
              <w:rPr>
                <w:sz w:val="24"/>
                <w:szCs w:val="24"/>
              </w:rPr>
            </w:pPr>
          </w:p>
        </w:tc>
      </w:tr>
      <w:tr w:rsidR="0058029F" w:rsidTr="00916B7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238" w:type="dxa"/>
            <w:tcBorders>
              <w:left w:val="single" w:sz="12" w:space="0" w:color="auto"/>
            </w:tcBorders>
            <w:vAlign w:val="center"/>
          </w:tcPr>
          <w:p w:rsidR="0058029F" w:rsidRPr="0058029F" w:rsidRDefault="0058029F" w:rsidP="0058029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旅游</w:t>
            </w:r>
          </w:p>
        </w:tc>
        <w:tc>
          <w:tcPr>
            <w:tcW w:w="5245" w:type="dxa"/>
            <w:vAlign w:val="center"/>
          </w:tcPr>
          <w:p w:rsidR="0058029F" w:rsidRPr="0058029F" w:rsidRDefault="0058029F" w:rsidP="00580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省管以外利用公共资源建设的景区门票价格，以及利用公共资源建设的景区（含省管景区）内的交通运输服务价格</w:t>
            </w:r>
          </w:p>
        </w:tc>
        <w:tc>
          <w:tcPr>
            <w:tcW w:w="1701" w:type="dxa"/>
            <w:vAlign w:val="center"/>
          </w:tcPr>
          <w:p w:rsidR="0058029F" w:rsidRDefault="0058029F" w:rsidP="0058029F">
            <w:pPr>
              <w:jc w:val="center"/>
            </w:pPr>
            <w:r w:rsidRPr="00957B41">
              <w:rPr>
                <w:rFonts w:hint="eastAsia"/>
                <w:sz w:val="24"/>
                <w:szCs w:val="24"/>
              </w:rPr>
              <w:t>县级人民政府</w:t>
            </w:r>
          </w:p>
        </w:tc>
        <w:tc>
          <w:tcPr>
            <w:tcW w:w="4706" w:type="dxa"/>
            <w:tcBorders>
              <w:right w:val="single" w:sz="12" w:space="0" w:color="auto"/>
            </w:tcBorders>
            <w:vAlign w:val="center"/>
          </w:tcPr>
          <w:p w:rsidR="0058029F" w:rsidRPr="0058029F" w:rsidRDefault="0058029F" w:rsidP="00916B7E">
            <w:pPr>
              <w:rPr>
                <w:sz w:val="24"/>
                <w:szCs w:val="24"/>
              </w:rPr>
            </w:pPr>
          </w:p>
        </w:tc>
      </w:tr>
      <w:tr w:rsidR="00D84312" w:rsidTr="00916B7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238" w:type="dxa"/>
            <w:vMerge w:val="restart"/>
            <w:tcBorders>
              <w:left w:val="single" w:sz="12" w:space="0" w:color="auto"/>
            </w:tcBorders>
            <w:vAlign w:val="center"/>
          </w:tcPr>
          <w:p w:rsidR="00D84312" w:rsidRDefault="00D84312" w:rsidP="0058029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重要专业服务</w:t>
            </w:r>
          </w:p>
        </w:tc>
        <w:tc>
          <w:tcPr>
            <w:tcW w:w="5245" w:type="dxa"/>
            <w:vAlign w:val="center"/>
          </w:tcPr>
          <w:p w:rsidR="00D84312" w:rsidRPr="0058029F" w:rsidRDefault="00D84312" w:rsidP="00580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公办养老机构基本服务收费标准</w:t>
            </w:r>
          </w:p>
        </w:tc>
        <w:tc>
          <w:tcPr>
            <w:tcW w:w="1701" w:type="dxa"/>
            <w:vAlign w:val="center"/>
          </w:tcPr>
          <w:p w:rsidR="00D84312" w:rsidRDefault="00D84312" w:rsidP="0058029F">
            <w:pPr>
              <w:jc w:val="center"/>
            </w:pPr>
            <w:r w:rsidRPr="00957B41">
              <w:rPr>
                <w:rFonts w:hint="eastAsia"/>
                <w:sz w:val="24"/>
                <w:szCs w:val="24"/>
              </w:rPr>
              <w:t>县级人民政府</w:t>
            </w:r>
          </w:p>
        </w:tc>
        <w:tc>
          <w:tcPr>
            <w:tcW w:w="4706" w:type="dxa"/>
            <w:tcBorders>
              <w:right w:val="single" w:sz="12" w:space="0" w:color="auto"/>
            </w:tcBorders>
            <w:vAlign w:val="center"/>
          </w:tcPr>
          <w:p w:rsidR="00D84312" w:rsidRPr="0058029F" w:rsidRDefault="00916B7E" w:rsidP="00916B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定价范围为床位费、护理费等基本服务收费</w:t>
            </w:r>
          </w:p>
        </w:tc>
      </w:tr>
      <w:tr w:rsidR="00D84312" w:rsidTr="00916B7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238" w:type="dxa"/>
            <w:vMerge/>
            <w:tcBorders>
              <w:left w:val="single" w:sz="12" w:space="0" w:color="auto"/>
            </w:tcBorders>
            <w:vAlign w:val="center"/>
          </w:tcPr>
          <w:p w:rsidR="00D84312" w:rsidRDefault="00D84312" w:rsidP="0058029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D84312" w:rsidRPr="0058029F" w:rsidRDefault="00D84312" w:rsidP="00580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殡葬基本服务收费标准</w:t>
            </w:r>
          </w:p>
        </w:tc>
        <w:tc>
          <w:tcPr>
            <w:tcW w:w="1701" w:type="dxa"/>
            <w:vAlign w:val="center"/>
          </w:tcPr>
          <w:p w:rsidR="00D84312" w:rsidRDefault="00D84312" w:rsidP="0058029F">
            <w:pPr>
              <w:jc w:val="center"/>
            </w:pPr>
            <w:r w:rsidRPr="00957B41">
              <w:rPr>
                <w:rFonts w:hint="eastAsia"/>
                <w:sz w:val="24"/>
                <w:szCs w:val="24"/>
              </w:rPr>
              <w:t>县级人民政府</w:t>
            </w:r>
          </w:p>
        </w:tc>
        <w:tc>
          <w:tcPr>
            <w:tcW w:w="4706" w:type="dxa"/>
            <w:tcBorders>
              <w:right w:val="single" w:sz="12" w:space="0" w:color="auto"/>
            </w:tcBorders>
            <w:vAlign w:val="center"/>
          </w:tcPr>
          <w:p w:rsidR="00D84312" w:rsidRPr="0058029F" w:rsidRDefault="00D84312" w:rsidP="00916B7E">
            <w:pPr>
              <w:rPr>
                <w:sz w:val="24"/>
                <w:szCs w:val="24"/>
              </w:rPr>
            </w:pPr>
          </w:p>
        </w:tc>
      </w:tr>
      <w:tr w:rsidR="00D84312" w:rsidTr="00916B7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238" w:type="dxa"/>
            <w:vMerge/>
            <w:tcBorders>
              <w:left w:val="single" w:sz="12" w:space="0" w:color="auto"/>
            </w:tcBorders>
            <w:vAlign w:val="center"/>
          </w:tcPr>
          <w:p w:rsidR="00D84312" w:rsidRDefault="00D84312" w:rsidP="0058029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D84312" w:rsidRPr="0058029F" w:rsidRDefault="00D84312" w:rsidP="00580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城镇生活垃圾处理费标准</w:t>
            </w:r>
          </w:p>
        </w:tc>
        <w:tc>
          <w:tcPr>
            <w:tcW w:w="1701" w:type="dxa"/>
            <w:vAlign w:val="center"/>
          </w:tcPr>
          <w:p w:rsidR="00D84312" w:rsidRDefault="00D84312" w:rsidP="0058029F">
            <w:pPr>
              <w:jc w:val="center"/>
            </w:pPr>
            <w:r w:rsidRPr="00957B41">
              <w:rPr>
                <w:rFonts w:hint="eastAsia"/>
                <w:sz w:val="24"/>
                <w:szCs w:val="24"/>
              </w:rPr>
              <w:t>县级人民政府</w:t>
            </w:r>
          </w:p>
        </w:tc>
        <w:tc>
          <w:tcPr>
            <w:tcW w:w="4706" w:type="dxa"/>
            <w:tcBorders>
              <w:right w:val="single" w:sz="12" w:space="0" w:color="auto"/>
            </w:tcBorders>
            <w:vAlign w:val="center"/>
          </w:tcPr>
          <w:p w:rsidR="00D84312" w:rsidRPr="0058029F" w:rsidRDefault="00D84312" w:rsidP="00916B7E">
            <w:pPr>
              <w:rPr>
                <w:sz w:val="24"/>
                <w:szCs w:val="24"/>
              </w:rPr>
            </w:pPr>
          </w:p>
        </w:tc>
      </w:tr>
      <w:tr w:rsidR="00D84312" w:rsidTr="00916B7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2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4312" w:rsidRDefault="00D84312" w:rsidP="0058029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12" w:space="0" w:color="auto"/>
            </w:tcBorders>
            <w:vAlign w:val="center"/>
          </w:tcPr>
          <w:p w:rsidR="00D84312" w:rsidRPr="0058029F" w:rsidRDefault="00D84312" w:rsidP="00580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危险废物处置等服务收费标准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D84312" w:rsidRDefault="00D84312" w:rsidP="0058029F">
            <w:pPr>
              <w:jc w:val="center"/>
            </w:pPr>
            <w:r w:rsidRPr="00957B41">
              <w:rPr>
                <w:rFonts w:hint="eastAsia"/>
                <w:sz w:val="24"/>
                <w:szCs w:val="24"/>
              </w:rPr>
              <w:t>县级人民政府</w:t>
            </w:r>
          </w:p>
        </w:tc>
        <w:tc>
          <w:tcPr>
            <w:tcW w:w="4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4312" w:rsidRPr="0058029F" w:rsidRDefault="00D84312" w:rsidP="00916B7E">
            <w:pPr>
              <w:rPr>
                <w:sz w:val="24"/>
                <w:szCs w:val="24"/>
              </w:rPr>
            </w:pPr>
          </w:p>
        </w:tc>
      </w:tr>
    </w:tbl>
    <w:p w:rsidR="0058029F" w:rsidRPr="0058029F" w:rsidRDefault="0058029F" w:rsidP="0058029F">
      <w:pPr>
        <w:rPr>
          <w:sz w:val="32"/>
          <w:szCs w:val="32"/>
        </w:rPr>
      </w:pPr>
    </w:p>
    <w:sectPr w:rsidR="0058029F" w:rsidRPr="0058029F" w:rsidSect="005802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FD6" w:rsidRDefault="00824FD6" w:rsidP="00D84312">
      <w:r>
        <w:separator/>
      </w:r>
    </w:p>
  </w:endnote>
  <w:endnote w:type="continuationSeparator" w:id="0">
    <w:p w:rsidR="00824FD6" w:rsidRDefault="00824FD6" w:rsidP="00D84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FD6" w:rsidRDefault="00824FD6" w:rsidP="00D84312">
      <w:r>
        <w:separator/>
      </w:r>
    </w:p>
  </w:footnote>
  <w:footnote w:type="continuationSeparator" w:id="0">
    <w:p w:rsidR="00824FD6" w:rsidRDefault="00824FD6" w:rsidP="00D843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29F"/>
    <w:rsid w:val="0000712A"/>
    <w:rsid w:val="00007EDC"/>
    <w:rsid w:val="00012064"/>
    <w:rsid w:val="00032758"/>
    <w:rsid w:val="000407CE"/>
    <w:rsid w:val="0004334D"/>
    <w:rsid w:val="00045FC1"/>
    <w:rsid w:val="000472C9"/>
    <w:rsid w:val="0005249C"/>
    <w:rsid w:val="00053E97"/>
    <w:rsid w:val="00054BBE"/>
    <w:rsid w:val="000640FF"/>
    <w:rsid w:val="0006450B"/>
    <w:rsid w:val="00065C3D"/>
    <w:rsid w:val="00066BF3"/>
    <w:rsid w:val="000731B6"/>
    <w:rsid w:val="00075E8F"/>
    <w:rsid w:val="00077275"/>
    <w:rsid w:val="00081F03"/>
    <w:rsid w:val="0008345C"/>
    <w:rsid w:val="000879C9"/>
    <w:rsid w:val="00090387"/>
    <w:rsid w:val="00093517"/>
    <w:rsid w:val="000951CA"/>
    <w:rsid w:val="0009717C"/>
    <w:rsid w:val="000A1114"/>
    <w:rsid w:val="000A18CA"/>
    <w:rsid w:val="000A70FC"/>
    <w:rsid w:val="000B764A"/>
    <w:rsid w:val="000C6536"/>
    <w:rsid w:val="000C71FF"/>
    <w:rsid w:val="0010129A"/>
    <w:rsid w:val="001031E4"/>
    <w:rsid w:val="00113657"/>
    <w:rsid w:val="001168E7"/>
    <w:rsid w:val="0012549E"/>
    <w:rsid w:val="001333FD"/>
    <w:rsid w:val="00133BB1"/>
    <w:rsid w:val="001352C8"/>
    <w:rsid w:val="00142595"/>
    <w:rsid w:val="001513DA"/>
    <w:rsid w:val="00152288"/>
    <w:rsid w:val="00152EAA"/>
    <w:rsid w:val="00153531"/>
    <w:rsid w:val="00156BD1"/>
    <w:rsid w:val="001755B5"/>
    <w:rsid w:val="00177603"/>
    <w:rsid w:val="00177DA8"/>
    <w:rsid w:val="00180F93"/>
    <w:rsid w:val="00193A62"/>
    <w:rsid w:val="001973CC"/>
    <w:rsid w:val="001A0FC4"/>
    <w:rsid w:val="001B44FE"/>
    <w:rsid w:val="001B56D2"/>
    <w:rsid w:val="001B72EC"/>
    <w:rsid w:val="001C0281"/>
    <w:rsid w:val="001D03D0"/>
    <w:rsid w:val="001D24AB"/>
    <w:rsid w:val="001E0247"/>
    <w:rsid w:val="001E3607"/>
    <w:rsid w:val="001E6CE5"/>
    <w:rsid w:val="001F4CF1"/>
    <w:rsid w:val="002027E6"/>
    <w:rsid w:val="00202C00"/>
    <w:rsid w:val="002031E9"/>
    <w:rsid w:val="002100D5"/>
    <w:rsid w:val="00212749"/>
    <w:rsid w:val="00213C6F"/>
    <w:rsid w:val="00222118"/>
    <w:rsid w:val="00224E82"/>
    <w:rsid w:val="00225D17"/>
    <w:rsid w:val="00227208"/>
    <w:rsid w:val="00233609"/>
    <w:rsid w:val="00243396"/>
    <w:rsid w:val="0025042B"/>
    <w:rsid w:val="00250639"/>
    <w:rsid w:val="00250B19"/>
    <w:rsid w:val="0025191D"/>
    <w:rsid w:val="00257C23"/>
    <w:rsid w:val="0026442E"/>
    <w:rsid w:val="00276D9F"/>
    <w:rsid w:val="002829CB"/>
    <w:rsid w:val="0028412C"/>
    <w:rsid w:val="00291910"/>
    <w:rsid w:val="00291E13"/>
    <w:rsid w:val="002A13EF"/>
    <w:rsid w:val="002A4C39"/>
    <w:rsid w:val="002A6777"/>
    <w:rsid w:val="002B071D"/>
    <w:rsid w:val="002B61DF"/>
    <w:rsid w:val="002C2D07"/>
    <w:rsid w:val="002C451F"/>
    <w:rsid w:val="002D4B9C"/>
    <w:rsid w:val="002D52E8"/>
    <w:rsid w:val="002D7500"/>
    <w:rsid w:val="002E4F60"/>
    <w:rsid w:val="002E6742"/>
    <w:rsid w:val="002F6E7F"/>
    <w:rsid w:val="00302BC1"/>
    <w:rsid w:val="00306322"/>
    <w:rsid w:val="003104E8"/>
    <w:rsid w:val="00315BD2"/>
    <w:rsid w:val="003163C2"/>
    <w:rsid w:val="00317F80"/>
    <w:rsid w:val="00323BC2"/>
    <w:rsid w:val="003250A3"/>
    <w:rsid w:val="00332B4B"/>
    <w:rsid w:val="00333D2A"/>
    <w:rsid w:val="00343900"/>
    <w:rsid w:val="00343AC5"/>
    <w:rsid w:val="003518CA"/>
    <w:rsid w:val="00352830"/>
    <w:rsid w:val="00353DB8"/>
    <w:rsid w:val="003557ED"/>
    <w:rsid w:val="003613AC"/>
    <w:rsid w:val="00363B3F"/>
    <w:rsid w:val="00365D55"/>
    <w:rsid w:val="00370797"/>
    <w:rsid w:val="00371D8E"/>
    <w:rsid w:val="00392939"/>
    <w:rsid w:val="003B2CA4"/>
    <w:rsid w:val="003B674D"/>
    <w:rsid w:val="003B77AB"/>
    <w:rsid w:val="003C2362"/>
    <w:rsid w:val="003D14ED"/>
    <w:rsid w:val="003D71EF"/>
    <w:rsid w:val="003E2EAC"/>
    <w:rsid w:val="003F212A"/>
    <w:rsid w:val="003F2652"/>
    <w:rsid w:val="003F3847"/>
    <w:rsid w:val="003F3A1C"/>
    <w:rsid w:val="00406F8F"/>
    <w:rsid w:val="004110E4"/>
    <w:rsid w:val="00417089"/>
    <w:rsid w:val="00421B36"/>
    <w:rsid w:val="00422D15"/>
    <w:rsid w:val="004234C7"/>
    <w:rsid w:val="0043319D"/>
    <w:rsid w:val="00435C49"/>
    <w:rsid w:val="00435F7C"/>
    <w:rsid w:val="004369F2"/>
    <w:rsid w:val="00460E1B"/>
    <w:rsid w:val="00461C03"/>
    <w:rsid w:val="0046550C"/>
    <w:rsid w:val="00466B4B"/>
    <w:rsid w:val="00467D27"/>
    <w:rsid w:val="00483E29"/>
    <w:rsid w:val="004873C4"/>
    <w:rsid w:val="00496F6A"/>
    <w:rsid w:val="004A0FB7"/>
    <w:rsid w:val="004A71C9"/>
    <w:rsid w:val="004A7604"/>
    <w:rsid w:val="004C4D70"/>
    <w:rsid w:val="004C5003"/>
    <w:rsid w:val="004C7ACE"/>
    <w:rsid w:val="004D088B"/>
    <w:rsid w:val="004D6580"/>
    <w:rsid w:val="004E4344"/>
    <w:rsid w:val="004F2896"/>
    <w:rsid w:val="004F36E2"/>
    <w:rsid w:val="004F3CC9"/>
    <w:rsid w:val="004F48DA"/>
    <w:rsid w:val="004F73DD"/>
    <w:rsid w:val="00500DD7"/>
    <w:rsid w:val="005044EB"/>
    <w:rsid w:val="005118CE"/>
    <w:rsid w:val="00520619"/>
    <w:rsid w:val="005227E9"/>
    <w:rsid w:val="005261FF"/>
    <w:rsid w:val="00526BC2"/>
    <w:rsid w:val="00527E34"/>
    <w:rsid w:val="00531E1B"/>
    <w:rsid w:val="00532EB6"/>
    <w:rsid w:val="0053393B"/>
    <w:rsid w:val="005412EB"/>
    <w:rsid w:val="0054680A"/>
    <w:rsid w:val="005526B8"/>
    <w:rsid w:val="005559CD"/>
    <w:rsid w:val="0056128F"/>
    <w:rsid w:val="0056230E"/>
    <w:rsid w:val="00567920"/>
    <w:rsid w:val="00571CE5"/>
    <w:rsid w:val="00573841"/>
    <w:rsid w:val="00574942"/>
    <w:rsid w:val="005761D0"/>
    <w:rsid w:val="0058029F"/>
    <w:rsid w:val="00581628"/>
    <w:rsid w:val="00582BFF"/>
    <w:rsid w:val="005841E6"/>
    <w:rsid w:val="00587857"/>
    <w:rsid w:val="005923CB"/>
    <w:rsid w:val="00596C11"/>
    <w:rsid w:val="005A2D38"/>
    <w:rsid w:val="005A43C5"/>
    <w:rsid w:val="005A478D"/>
    <w:rsid w:val="005A4B26"/>
    <w:rsid w:val="005A4BC9"/>
    <w:rsid w:val="005B5EB3"/>
    <w:rsid w:val="005C03EE"/>
    <w:rsid w:val="005C1EB9"/>
    <w:rsid w:val="005C3893"/>
    <w:rsid w:val="005C7374"/>
    <w:rsid w:val="005D10DD"/>
    <w:rsid w:val="005D51BF"/>
    <w:rsid w:val="005D70B2"/>
    <w:rsid w:val="005E346D"/>
    <w:rsid w:val="005E3CE2"/>
    <w:rsid w:val="005E4FB8"/>
    <w:rsid w:val="005E67A8"/>
    <w:rsid w:val="005E7074"/>
    <w:rsid w:val="005F2EBE"/>
    <w:rsid w:val="005F4D13"/>
    <w:rsid w:val="00605AF5"/>
    <w:rsid w:val="00606A6D"/>
    <w:rsid w:val="00614EFF"/>
    <w:rsid w:val="00616085"/>
    <w:rsid w:val="00617050"/>
    <w:rsid w:val="00617B92"/>
    <w:rsid w:val="00620DA3"/>
    <w:rsid w:val="0062500B"/>
    <w:rsid w:val="006268FA"/>
    <w:rsid w:val="00630EA1"/>
    <w:rsid w:val="00640AEF"/>
    <w:rsid w:val="006430C1"/>
    <w:rsid w:val="00644B89"/>
    <w:rsid w:val="006458EE"/>
    <w:rsid w:val="006534EA"/>
    <w:rsid w:val="00674C40"/>
    <w:rsid w:val="00677308"/>
    <w:rsid w:val="0067776D"/>
    <w:rsid w:val="00683D3E"/>
    <w:rsid w:val="0069324D"/>
    <w:rsid w:val="00693C0D"/>
    <w:rsid w:val="006A01D0"/>
    <w:rsid w:val="006A1369"/>
    <w:rsid w:val="006A25B3"/>
    <w:rsid w:val="006A3CC5"/>
    <w:rsid w:val="006A49AB"/>
    <w:rsid w:val="006A568D"/>
    <w:rsid w:val="006A711A"/>
    <w:rsid w:val="006B0D20"/>
    <w:rsid w:val="006B4DED"/>
    <w:rsid w:val="006C3672"/>
    <w:rsid w:val="006C4722"/>
    <w:rsid w:val="006D30CE"/>
    <w:rsid w:val="006D376E"/>
    <w:rsid w:val="006D449A"/>
    <w:rsid w:val="006D7FE2"/>
    <w:rsid w:val="006E2607"/>
    <w:rsid w:val="006F08EB"/>
    <w:rsid w:val="0071502D"/>
    <w:rsid w:val="007211B2"/>
    <w:rsid w:val="00732949"/>
    <w:rsid w:val="0073320B"/>
    <w:rsid w:val="00734ABC"/>
    <w:rsid w:val="00743919"/>
    <w:rsid w:val="00747918"/>
    <w:rsid w:val="00751546"/>
    <w:rsid w:val="0075199A"/>
    <w:rsid w:val="007528BF"/>
    <w:rsid w:val="00755F4B"/>
    <w:rsid w:val="0076516F"/>
    <w:rsid w:val="00765676"/>
    <w:rsid w:val="00770F6B"/>
    <w:rsid w:val="00776B6D"/>
    <w:rsid w:val="00780ACD"/>
    <w:rsid w:val="00783536"/>
    <w:rsid w:val="00786D82"/>
    <w:rsid w:val="007A1307"/>
    <w:rsid w:val="007B694A"/>
    <w:rsid w:val="007C6434"/>
    <w:rsid w:val="007D1D3E"/>
    <w:rsid w:val="007D2895"/>
    <w:rsid w:val="007E12EB"/>
    <w:rsid w:val="007E2633"/>
    <w:rsid w:val="007E2AC3"/>
    <w:rsid w:val="007E4E63"/>
    <w:rsid w:val="007E672A"/>
    <w:rsid w:val="007F11CB"/>
    <w:rsid w:val="007F1B6E"/>
    <w:rsid w:val="007F69A8"/>
    <w:rsid w:val="00801621"/>
    <w:rsid w:val="00805F2C"/>
    <w:rsid w:val="00807196"/>
    <w:rsid w:val="00807CB1"/>
    <w:rsid w:val="00813C3B"/>
    <w:rsid w:val="008200AA"/>
    <w:rsid w:val="00824FD6"/>
    <w:rsid w:val="00835BB3"/>
    <w:rsid w:val="00844405"/>
    <w:rsid w:val="00852462"/>
    <w:rsid w:val="0085472E"/>
    <w:rsid w:val="0085726C"/>
    <w:rsid w:val="008666D5"/>
    <w:rsid w:val="00866C6A"/>
    <w:rsid w:val="0087212E"/>
    <w:rsid w:val="008755F1"/>
    <w:rsid w:val="00881CB7"/>
    <w:rsid w:val="00881FC5"/>
    <w:rsid w:val="00885B80"/>
    <w:rsid w:val="00890B51"/>
    <w:rsid w:val="008919F9"/>
    <w:rsid w:val="00897916"/>
    <w:rsid w:val="008B0798"/>
    <w:rsid w:val="008B184B"/>
    <w:rsid w:val="008B5FC8"/>
    <w:rsid w:val="008B7A88"/>
    <w:rsid w:val="008C3C4B"/>
    <w:rsid w:val="008D2E1F"/>
    <w:rsid w:val="008E1046"/>
    <w:rsid w:val="008E1063"/>
    <w:rsid w:val="008E6265"/>
    <w:rsid w:val="008E78D6"/>
    <w:rsid w:val="008F2711"/>
    <w:rsid w:val="008F67FE"/>
    <w:rsid w:val="008F7433"/>
    <w:rsid w:val="009005DA"/>
    <w:rsid w:val="00903CBD"/>
    <w:rsid w:val="00904D6B"/>
    <w:rsid w:val="00914ACB"/>
    <w:rsid w:val="0091536F"/>
    <w:rsid w:val="00916B7E"/>
    <w:rsid w:val="00917C7B"/>
    <w:rsid w:val="00920A17"/>
    <w:rsid w:val="00922917"/>
    <w:rsid w:val="00922AC6"/>
    <w:rsid w:val="009236C5"/>
    <w:rsid w:val="00923B02"/>
    <w:rsid w:val="0092527E"/>
    <w:rsid w:val="009310AE"/>
    <w:rsid w:val="00935CCB"/>
    <w:rsid w:val="009372A1"/>
    <w:rsid w:val="00937B37"/>
    <w:rsid w:val="009414D8"/>
    <w:rsid w:val="00942E6E"/>
    <w:rsid w:val="0094742C"/>
    <w:rsid w:val="00950C16"/>
    <w:rsid w:val="009521C0"/>
    <w:rsid w:val="00963686"/>
    <w:rsid w:val="00966331"/>
    <w:rsid w:val="0096728E"/>
    <w:rsid w:val="00973913"/>
    <w:rsid w:val="00976831"/>
    <w:rsid w:val="009822FB"/>
    <w:rsid w:val="009973CC"/>
    <w:rsid w:val="009A68E0"/>
    <w:rsid w:val="009A7ADE"/>
    <w:rsid w:val="009B062C"/>
    <w:rsid w:val="009B0CA4"/>
    <w:rsid w:val="009B472F"/>
    <w:rsid w:val="009B5075"/>
    <w:rsid w:val="009C34CC"/>
    <w:rsid w:val="009D4DA2"/>
    <w:rsid w:val="009D6A75"/>
    <w:rsid w:val="009E08E4"/>
    <w:rsid w:val="009E5CB5"/>
    <w:rsid w:val="009E69B1"/>
    <w:rsid w:val="009F3F2A"/>
    <w:rsid w:val="009F5342"/>
    <w:rsid w:val="009F7F8B"/>
    <w:rsid w:val="00A01957"/>
    <w:rsid w:val="00A119A0"/>
    <w:rsid w:val="00A12555"/>
    <w:rsid w:val="00A2457E"/>
    <w:rsid w:val="00A339BC"/>
    <w:rsid w:val="00A40327"/>
    <w:rsid w:val="00A4083B"/>
    <w:rsid w:val="00A47360"/>
    <w:rsid w:val="00A476AA"/>
    <w:rsid w:val="00A50E50"/>
    <w:rsid w:val="00A51248"/>
    <w:rsid w:val="00A51C40"/>
    <w:rsid w:val="00A5257A"/>
    <w:rsid w:val="00A52B60"/>
    <w:rsid w:val="00A6105F"/>
    <w:rsid w:val="00A6401C"/>
    <w:rsid w:val="00A67CF7"/>
    <w:rsid w:val="00A67DA3"/>
    <w:rsid w:val="00A70509"/>
    <w:rsid w:val="00A72261"/>
    <w:rsid w:val="00A774DD"/>
    <w:rsid w:val="00A801C4"/>
    <w:rsid w:val="00A91416"/>
    <w:rsid w:val="00AA1387"/>
    <w:rsid w:val="00AB42B2"/>
    <w:rsid w:val="00AB5147"/>
    <w:rsid w:val="00AC0BAB"/>
    <w:rsid w:val="00AC1053"/>
    <w:rsid w:val="00AC3EDF"/>
    <w:rsid w:val="00AC40BB"/>
    <w:rsid w:val="00AC4F13"/>
    <w:rsid w:val="00AC707A"/>
    <w:rsid w:val="00AD2058"/>
    <w:rsid w:val="00AD336B"/>
    <w:rsid w:val="00AF0544"/>
    <w:rsid w:val="00AF2E50"/>
    <w:rsid w:val="00AF40DF"/>
    <w:rsid w:val="00B01A07"/>
    <w:rsid w:val="00B05193"/>
    <w:rsid w:val="00B05E67"/>
    <w:rsid w:val="00B16FA7"/>
    <w:rsid w:val="00B21646"/>
    <w:rsid w:val="00B30AC8"/>
    <w:rsid w:val="00B33B5A"/>
    <w:rsid w:val="00B36478"/>
    <w:rsid w:val="00B5293A"/>
    <w:rsid w:val="00B54CE8"/>
    <w:rsid w:val="00B72002"/>
    <w:rsid w:val="00B72D4A"/>
    <w:rsid w:val="00B75AB4"/>
    <w:rsid w:val="00B82577"/>
    <w:rsid w:val="00B87886"/>
    <w:rsid w:val="00B93457"/>
    <w:rsid w:val="00B95852"/>
    <w:rsid w:val="00BA39A3"/>
    <w:rsid w:val="00BB0FED"/>
    <w:rsid w:val="00BB13E5"/>
    <w:rsid w:val="00BB2B83"/>
    <w:rsid w:val="00BB38F1"/>
    <w:rsid w:val="00BC3B5B"/>
    <w:rsid w:val="00BC3E27"/>
    <w:rsid w:val="00BD13E5"/>
    <w:rsid w:val="00BE0426"/>
    <w:rsid w:val="00BE42E8"/>
    <w:rsid w:val="00BE47A4"/>
    <w:rsid w:val="00BE4BCA"/>
    <w:rsid w:val="00BE4D1E"/>
    <w:rsid w:val="00BE61F6"/>
    <w:rsid w:val="00BE713D"/>
    <w:rsid w:val="00C0106E"/>
    <w:rsid w:val="00C01B32"/>
    <w:rsid w:val="00C042A8"/>
    <w:rsid w:val="00C13DBE"/>
    <w:rsid w:val="00C150E1"/>
    <w:rsid w:val="00C16DD9"/>
    <w:rsid w:val="00C201EB"/>
    <w:rsid w:val="00C248E0"/>
    <w:rsid w:val="00C24D51"/>
    <w:rsid w:val="00C26A29"/>
    <w:rsid w:val="00C276F8"/>
    <w:rsid w:val="00C400DB"/>
    <w:rsid w:val="00C40E74"/>
    <w:rsid w:val="00C42759"/>
    <w:rsid w:val="00C47E7A"/>
    <w:rsid w:val="00C51472"/>
    <w:rsid w:val="00C53A7F"/>
    <w:rsid w:val="00C56954"/>
    <w:rsid w:val="00C65D36"/>
    <w:rsid w:val="00C670A1"/>
    <w:rsid w:val="00C76F39"/>
    <w:rsid w:val="00C81256"/>
    <w:rsid w:val="00C81B7A"/>
    <w:rsid w:val="00C943FA"/>
    <w:rsid w:val="00CA07B9"/>
    <w:rsid w:val="00CA205E"/>
    <w:rsid w:val="00CA2D66"/>
    <w:rsid w:val="00CA3201"/>
    <w:rsid w:val="00CA3C80"/>
    <w:rsid w:val="00CA6980"/>
    <w:rsid w:val="00CB1639"/>
    <w:rsid w:val="00CB4478"/>
    <w:rsid w:val="00CC2D35"/>
    <w:rsid w:val="00CC4A0F"/>
    <w:rsid w:val="00CD0D77"/>
    <w:rsid w:val="00CD7B2F"/>
    <w:rsid w:val="00CF322D"/>
    <w:rsid w:val="00CF43D3"/>
    <w:rsid w:val="00CF5AF9"/>
    <w:rsid w:val="00D04CE6"/>
    <w:rsid w:val="00D071AE"/>
    <w:rsid w:val="00D11D3A"/>
    <w:rsid w:val="00D17756"/>
    <w:rsid w:val="00D20FA2"/>
    <w:rsid w:val="00D2132A"/>
    <w:rsid w:val="00D270EC"/>
    <w:rsid w:val="00D31F1B"/>
    <w:rsid w:val="00D322B8"/>
    <w:rsid w:val="00D33063"/>
    <w:rsid w:val="00D34A74"/>
    <w:rsid w:val="00D362F7"/>
    <w:rsid w:val="00D37895"/>
    <w:rsid w:val="00D47655"/>
    <w:rsid w:val="00D502C2"/>
    <w:rsid w:val="00D54D84"/>
    <w:rsid w:val="00D6000E"/>
    <w:rsid w:val="00D60C01"/>
    <w:rsid w:val="00D6335A"/>
    <w:rsid w:val="00D83833"/>
    <w:rsid w:val="00D84312"/>
    <w:rsid w:val="00D848AC"/>
    <w:rsid w:val="00D92189"/>
    <w:rsid w:val="00D9372F"/>
    <w:rsid w:val="00D96CAD"/>
    <w:rsid w:val="00D96D16"/>
    <w:rsid w:val="00DA32DD"/>
    <w:rsid w:val="00DA672F"/>
    <w:rsid w:val="00DB0C85"/>
    <w:rsid w:val="00DC245F"/>
    <w:rsid w:val="00DC6F87"/>
    <w:rsid w:val="00DD317E"/>
    <w:rsid w:val="00DE0527"/>
    <w:rsid w:val="00DE1714"/>
    <w:rsid w:val="00DE31FC"/>
    <w:rsid w:val="00DE5159"/>
    <w:rsid w:val="00DF068C"/>
    <w:rsid w:val="00DF7532"/>
    <w:rsid w:val="00E01146"/>
    <w:rsid w:val="00E01ED2"/>
    <w:rsid w:val="00E10A6D"/>
    <w:rsid w:val="00E126B9"/>
    <w:rsid w:val="00E1287E"/>
    <w:rsid w:val="00E16AF8"/>
    <w:rsid w:val="00E3492B"/>
    <w:rsid w:val="00E36EC4"/>
    <w:rsid w:val="00E42654"/>
    <w:rsid w:val="00E439E8"/>
    <w:rsid w:val="00E501FA"/>
    <w:rsid w:val="00E56C50"/>
    <w:rsid w:val="00E5705D"/>
    <w:rsid w:val="00E574DA"/>
    <w:rsid w:val="00E62A53"/>
    <w:rsid w:val="00E634FF"/>
    <w:rsid w:val="00E6376C"/>
    <w:rsid w:val="00E64B03"/>
    <w:rsid w:val="00E654E5"/>
    <w:rsid w:val="00E708B2"/>
    <w:rsid w:val="00E73C30"/>
    <w:rsid w:val="00E744BD"/>
    <w:rsid w:val="00E74B45"/>
    <w:rsid w:val="00E75B34"/>
    <w:rsid w:val="00E75EC9"/>
    <w:rsid w:val="00E82386"/>
    <w:rsid w:val="00E828B4"/>
    <w:rsid w:val="00E82B72"/>
    <w:rsid w:val="00E8788F"/>
    <w:rsid w:val="00E90A97"/>
    <w:rsid w:val="00E926D2"/>
    <w:rsid w:val="00EA0769"/>
    <w:rsid w:val="00EA258A"/>
    <w:rsid w:val="00EA27EC"/>
    <w:rsid w:val="00EA2922"/>
    <w:rsid w:val="00EA2DB9"/>
    <w:rsid w:val="00EA3988"/>
    <w:rsid w:val="00EA3FFB"/>
    <w:rsid w:val="00EA5A9E"/>
    <w:rsid w:val="00EB2FA9"/>
    <w:rsid w:val="00EC47B8"/>
    <w:rsid w:val="00ED271C"/>
    <w:rsid w:val="00ED3C5C"/>
    <w:rsid w:val="00EE19F2"/>
    <w:rsid w:val="00EE3B0C"/>
    <w:rsid w:val="00EE5FCF"/>
    <w:rsid w:val="00EF09C2"/>
    <w:rsid w:val="00EF13DD"/>
    <w:rsid w:val="00F01DED"/>
    <w:rsid w:val="00F15ABB"/>
    <w:rsid w:val="00F22BB3"/>
    <w:rsid w:val="00F250A9"/>
    <w:rsid w:val="00F27480"/>
    <w:rsid w:val="00F275C3"/>
    <w:rsid w:val="00F31B7C"/>
    <w:rsid w:val="00F31BB4"/>
    <w:rsid w:val="00F31E5D"/>
    <w:rsid w:val="00F34513"/>
    <w:rsid w:val="00F37325"/>
    <w:rsid w:val="00F42231"/>
    <w:rsid w:val="00F42DBB"/>
    <w:rsid w:val="00F4399D"/>
    <w:rsid w:val="00F443CC"/>
    <w:rsid w:val="00F527DA"/>
    <w:rsid w:val="00F54972"/>
    <w:rsid w:val="00F610F8"/>
    <w:rsid w:val="00F63149"/>
    <w:rsid w:val="00F71B90"/>
    <w:rsid w:val="00F725F0"/>
    <w:rsid w:val="00F73BD4"/>
    <w:rsid w:val="00F76FCE"/>
    <w:rsid w:val="00F841F8"/>
    <w:rsid w:val="00F85262"/>
    <w:rsid w:val="00F875B6"/>
    <w:rsid w:val="00F9780F"/>
    <w:rsid w:val="00FA0245"/>
    <w:rsid w:val="00FA07BE"/>
    <w:rsid w:val="00FA17D6"/>
    <w:rsid w:val="00FA1D32"/>
    <w:rsid w:val="00FA6940"/>
    <w:rsid w:val="00FB7328"/>
    <w:rsid w:val="00FC2BC4"/>
    <w:rsid w:val="00FC38F0"/>
    <w:rsid w:val="00FC4E3F"/>
    <w:rsid w:val="00FD5D4B"/>
    <w:rsid w:val="00FE75D4"/>
    <w:rsid w:val="00FF2C3B"/>
    <w:rsid w:val="00FF469F"/>
    <w:rsid w:val="00FF71FD"/>
    <w:rsid w:val="00FF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4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43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43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43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E30A535-6F98-4746-B46E-31E12C485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2016-05-10T07:16:00Z</dcterms:created>
  <dcterms:modified xsi:type="dcterms:W3CDTF">2016-05-10T09:02:00Z</dcterms:modified>
</cp:coreProperties>
</file>