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河南省食品药品监督管理局</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河南天鸿医药集团有限公司焦作分公司</w:t>
      </w:r>
      <w:r>
        <w:rPr>
          <w:rFonts w:hint="eastAsia" w:ascii="方正小标宋简体" w:hAnsi="方正小标宋简体" w:eastAsia="方正小标宋简体" w:cs="方正小标宋简体"/>
          <w:sz w:val="44"/>
          <w:szCs w:val="44"/>
        </w:rPr>
        <w:t>等</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家</w:t>
      </w:r>
      <w:r>
        <w:rPr>
          <w:rFonts w:hint="eastAsia" w:ascii="方正小标宋简体" w:hAnsi="方正小标宋简体" w:eastAsia="方正小标宋简体" w:cs="方正小标宋简体"/>
          <w:i w:val="0"/>
          <w:caps w:val="0"/>
          <w:color w:val="000000"/>
          <w:spacing w:val="0"/>
          <w:sz w:val="44"/>
          <w:szCs w:val="44"/>
          <w:shd w:val="clear" w:fill="FFFFFF"/>
        </w:rPr>
        <w:t>药品批发企业</w:t>
      </w:r>
      <w:r>
        <w:rPr>
          <w:rFonts w:hint="eastAsia" w:ascii="方正小标宋简体" w:hAnsi="方正小标宋简体" w:eastAsia="方正小标宋简体" w:cs="方正小标宋简体"/>
          <w:sz w:val="44"/>
          <w:szCs w:val="44"/>
        </w:rPr>
        <w:t>双随机抽查情况的</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通告</w:t>
      </w:r>
    </w:p>
    <w:p>
      <w:pPr>
        <w:spacing w:line="580" w:lineRule="exact"/>
        <w:jc w:val="center"/>
        <w:rPr>
          <w:rFonts w:ascii="方正小标宋简体" w:eastAsia="方正小标宋简体"/>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25"/>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为贯彻落实国务院办公厅《关于进一步改革完善药品生产流通使用政策的若干意见》（国办发〔2017〕13号）、省政府办公厅《关于公布省政府部门随机抽查事项清单的通知》（豫政办〔2017〕80号）、省食品药品监管局《2017年河南省食品药品日常监管工作计划》（豫食药监综〔2017〕52号）精神，依据《药品管理法》《药品管理法实施条例》《药品医疗器械飞行检查办法》《药品经营质量管理规范现场检查指南原则》等有关规定，省局组织对</w:t>
      </w:r>
      <w:r>
        <w:rPr>
          <w:rFonts w:hint="eastAsia" w:ascii="仿宋_GB2312" w:hAnsi="仿宋_GB2312" w:eastAsia="仿宋_GB2312" w:cs="仿宋_GB2312"/>
          <w:color w:val="000000" w:themeColor="text1"/>
          <w:sz w:val="32"/>
          <w:szCs w:val="32"/>
          <w14:textFill>
            <w14:solidFill>
              <w14:schemeClr w14:val="tx1"/>
            </w14:solidFill>
          </w14:textFill>
        </w:rPr>
        <w:t>河南天鸿医药集团有限公司焦作分公司</w:t>
      </w:r>
      <w:r>
        <w:rPr>
          <w:rFonts w:hint="eastAsia" w:ascii="仿宋_GB2312" w:hAnsi="仿宋_GB2312" w:eastAsia="仿宋_GB2312" w:cs="仿宋_GB2312"/>
          <w:i w:val="0"/>
          <w:caps w:val="0"/>
          <w:color w:val="000000"/>
          <w:spacing w:val="0"/>
          <w:sz w:val="32"/>
          <w:szCs w:val="32"/>
          <w:shd w:val="clear" w:fill="FFFFFF"/>
        </w:rPr>
        <w:t>等</w:t>
      </w:r>
      <w:r>
        <w:rPr>
          <w:rFonts w:hint="eastAsia" w:ascii="仿宋_GB2312" w:hAnsi="仿宋_GB2312" w:eastAsia="仿宋_GB2312" w:cs="仿宋_GB2312"/>
          <w:i w:val="0"/>
          <w:caps w:val="0"/>
          <w:color w:val="000000"/>
          <w:spacing w:val="0"/>
          <w:sz w:val="32"/>
          <w:szCs w:val="32"/>
          <w:shd w:val="clear" w:fill="FFFFFF"/>
          <w:lang w:val="en-US" w:eastAsia="zh-CN"/>
        </w:rPr>
        <w:t>2</w:t>
      </w:r>
      <w:r>
        <w:rPr>
          <w:rFonts w:hint="eastAsia" w:ascii="仿宋_GB2312" w:hAnsi="仿宋_GB2312" w:eastAsia="仿宋_GB2312" w:cs="仿宋_GB2312"/>
          <w:i w:val="0"/>
          <w:caps w:val="0"/>
          <w:color w:val="000000"/>
          <w:spacing w:val="0"/>
          <w:sz w:val="32"/>
          <w:szCs w:val="32"/>
          <w:shd w:val="clear" w:fill="FFFFFF"/>
        </w:rPr>
        <w:t>家药品批发企业进行了双随机抽查（检查结果详见附件）。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省食品药品监督管理局要求各药品批发企业强化自身管理，持续依法依规经营；各级食品药品监督管理局要继续加强对药品批发企业的监督检查，对发现的违法违规经营行为严肃查处，切实保障药品质量安全。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特此通告。</w:t>
      </w:r>
    </w:p>
    <w:p>
      <w:pPr>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附件：1.关于对</w:t>
      </w:r>
      <w:r>
        <w:rPr>
          <w:rFonts w:hint="eastAsia" w:ascii="仿宋_GB2312" w:hAnsi="仿宋_GB2312" w:eastAsia="仿宋_GB2312" w:cs="仿宋_GB2312"/>
          <w:color w:val="000000" w:themeColor="text1"/>
          <w:sz w:val="32"/>
          <w:szCs w:val="32"/>
          <w14:textFill>
            <w14:solidFill>
              <w14:schemeClr w14:val="tx1"/>
            </w14:solidFill>
          </w14:textFill>
        </w:rPr>
        <w:t>河南天鸿医药集团有限公司焦作分公司</w:t>
      </w:r>
      <w:r>
        <w:rPr>
          <w:rFonts w:hint="eastAsia" w:ascii="仿宋_GB2312" w:hAnsi="仿宋_GB2312" w:eastAsia="仿宋_GB2312" w:cs="仿宋_GB2312"/>
          <w:sz w:val="32"/>
          <w:szCs w:val="32"/>
        </w:rPr>
        <w:t>随机抽查情况通报</w:t>
      </w:r>
    </w:p>
    <w:p>
      <w:pPr>
        <w:numPr>
          <w:ilvl w:val="0"/>
          <w:numId w:val="1"/>
        </w:numPr>
        <w:tabs>
          <w:tab w:val="left" w:pos="1276"/>
        </w:tabs>
        <w:ind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关于对天地民生医药集团有限公司安阳分公司随机抽查情况通报</w:t>
      </w:r>
    </w:p>
    <w:p>
      <w:pPr>
        <w:ind w:firstLine="5440" w:firstLineChars="1700"/>
        <w:rPr>
          <w:rFonts w:hint="eastAsia" w:ascii="仿宋_GB2312" w:eastAsia="仿宋_GB2312"/>
          <w:sz w:val="32"/>
          <w:szCs w:val="32"/>
        </w:rPr>
      </w:pPr>
    </w:p>
    <w:p>
      <w:pPr>
        <w:ind w:firstLine="5440" w:firstLineChars="1700"/>
        <w:rPr>
          <w:rFonts w:hint="eastAsia" w:ascii="仿宋_GB2312" w:eastAsia="仿宋_GB2312"/>
          <w:sz w:val="32"/>
          <w:szCs w:val="32"/>
        </w:rPr>
      </w:pPr>
    </w:p>
    <w:p>
      <w:pPr>
        <w:ind w:firstLine="5440" w:firstLineChars="170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2018年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pStyle w:val="2"/>
        <w:spacing w:after="0" w:line="440" w:lineRule="exact"/>
        <w:ind w:firstLine="220" w:firstLineChars="50"/>
        <w:contextualSpacing/>
        <w:jc w:val="center"/>
        <w:rPr>
          <w:rFonts w:hint="eastAsia" w:ascii="方正小标宋简体" w:hAnsi="方正小标宋简体" w:eastAsia="方正小标宋简体" w:cs="方正小标宋简体"/>
          <w:sz w:val="44"/>
          <w:szCs w:val="44"/>
        </w:rPr>
      </w:pPr>
    </w:p>
    <w:p>
      <w:pPr>
        <w:pStyle w:val="2"/>
        <w:spacing w:after="0" w:line="440" w:lineRule="exact"/>
        <w:ind w:firstLine="220" w:firstLineChars="50"/>
        <w:contextualSpacing/>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sz w:val="44"/>
          <w:szCs w:val="44"/>
        </w:rPr>
        <w:t>关于对</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河南天鸿医药集团有限公司焦作</w:t>
      </w:r>
    </w:p>
    <w:p>
      <w:pPr>
        <w:pStyle w:val="2"/>
        <w:spacing w:after="0" w:line="440" w:lineRule="exact"/>
        <w:ind w:firstLine="220" w:firstLineChars="50"/>
        <w:contextualSpacing/>
        <w:jc w:val="center"/>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分公司</w:t>
      </w:r>
      <w:r>
        <w:rPr>
          <w:rFonts w:hint="eastAsia" w:ascii="方正小标宋简体" w:hAnsi="方正小标宋简体" w:eastAsia="方正小标宋简体" w:cs="方正小标宋简体"/>
          <w:sz w:val="44"/>
          <w:szCs w:val="44"/>
        </w:rPr>
        <w:t>随机抽查的情况</w:t>
      </w:r>
    </w:p>
    <w:p>
      <w:pPr>
        <w:pStyle w:val="2"/>
        <w:spacing w:after="0" w:line="440" w:lineRule="exact"/>
        <w:ind w:firstLine="165" w:firstLineChars="50"/>
        <w:contextualSpacing/>
        <w:jc w:val="center"/>
        <w:rPr>
          <w:rFonts w:ascii="仿宋_GB2312" w:hAnsi="宋体" w:eastAsia="仿宋_GB2312"/>
          <w:spacing w:val="5"/>
          <w:sz w:val="32"/>
          <w:szCs w:val="32"/>
        </w:rPr>
      </w:pPr>
    </w:p>
    <w:tbl>
      <w:tblPr>
        <w:tblStyle w:val="5"/>
        <w:tblW w:w="9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118"/>
        <w:gridCol w:w="141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企业名称</w:t>
            </w:r>
          </w:p>
        </w:tc>
        <w:tc>
          <w:tcPr>
            <w:tcW w:w="7319" w:type="dxa"/>
            <w:gridSpan w:val="3"/>
            <w:vAlign w:val="center"/>
          </w:tcPr>
          <w:p>
            <w:pPr>
              <w:pStyle w:val="2"/>
              <w:spacing w:after="0" w:line="560" w:lineRule="exact"/>
              <w:contextualSpacing/>
              <w:jc w:val="both"/>
              <w:rPr>
                <w:rFonts w:ascii="仿宋_GB2312" w:hAnsi="仿宋" w:eastAsia="仿宋_GB2312"/>
                <w:spacing w:val="5"/>
                <w:sz w:val="28"/>
                <w:szCs w:val="28"/>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河南天鸿医药集团有限公司焦作分公司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注册地址</w:t>
            </w:r>
          </w:p>
        </w:tc>
        <w:tc>
          <w:tcPr>
            <w:tcW w:w="3118" w:type="dxa"/>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焦作市中站区解放西双创基地二楼</w:t>
            </w:r>
          </w:p>
        </w:tc>
        <w:tc>
          <w:tcPr>
            <w:tcW w:w="1418"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仓库地址</w:t>
            </w:r>
          </w:p>
        </w:tc>
        <w:tc>
          <w:tcPr>
            <w:tcW w:w="2783" w:type="dxa"/>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新乡市高新区得源西路67号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许可证编号</w:t>
            </w:r>
          </w:p>
        </w:tc>
        <w:tc>
          <w:tcPr>
            <w:tcW w:w="3118" w:type="dxa"/>
            <w:vAlign w:val="center"/>
          </w:tcPr>
          <w:p>
            <w:pPr>
              <w:pStyle w:val="2"/>
              <w:spacing w:after="0" w:line="360" w:lineRule="exact"/>
              <w:contextualSpacing/>
              <w:jc w:val="both"/>
              <w:rPr>
                <w:rFonts w:ascii="宋体" w:hAnsi="宋体" w:cs="宋体"/>
                <w:sz w:val="28"/>
                <w:szCs w:val="28"/>
                <w:lang w:val="en-US" w:eastAsia="zh-CN"/>
              </w:rPr>
            </w:pPr>
            <w:r>
              <w:rPr>
                <w:rFonts w:hint="eastAsia" w:ascii="仿宋_GB2312" w:hAnsi="宋体" w:eastAsia="仿宋_GB2312"/>
                <w:spacing w:val="5"/>
                <w:sz w:val="28"/>
                <w:szCs w:val="28"/>
                <w:lang w:val="en-US" w:eastAsia="zh-CN"/>
              </w:rPr>
              <w:t>豫AB3910340</w:t>
            </w:r>
          </w:p>
        </w:tc>
        <w:tc>
          <w:tcPr>
            <w:tcW w:w="1418"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GSP证书编号</w:t>
            </w:r>
          </w:p>
        </w:tc>
        <w:tc>
          <w:tcPr>
            <w:tcW w:w="2783"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仿宋_GB2312" w:hAnsi="宋体" w:eastAsia="仿宋_GB2312"/>
                <w:spacing w:val="5"/>
                <w:sz w:val="28"/>
                <w:szCs w:val="28"/>
                <w:lang w:val="en-US" w:eastAsia="zh-CN"/>
              </w:rPr>
              <w:t>A-HEN17-014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经营范围</w:t>
            </w:r>
          </w:p>
        </w:tc>
        <w:tc>
          <w:tcPr>
            <w:tcW w:w="7319" w:type="dxa"/>
            <w:gridSpan w:val="3"/>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中药材、中药饮片、中成药、生化药品、生物制品（除疫苗）、化学药制剂、抗生素制剂、蛋白同化制剂、肽类激素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检查时间</w:t>
            </w:r>
          </w:p>
        </w:tc>
        <w:tc>
          <w:tcPr>
            <w:tcW w:w="7319" w:type="dxa"/>
            <w:gridSpan w:val="3"/>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2018年9月14日—9月16日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检查依据</w:t>
            </w:r>
          </w:p>
        </w:tc>
        <w:tc>
          <w:tcPr>
            <w:tcW w:w="7319" w:type="dxa"/>
            <w:gridSpan w:val="3"/>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《药品经营质量管理规范》《药品经营质量管理规范现场检查指导原则》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9169" w:type="dxa"/>
            <w:gridSpan w:val="4"/>
            <w:vAlign w:val="top"/>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检查发现的问题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9169" w:type="dxa"/>
            <w:gridSpan w:val="4"/>
            <w:vAlign w:val="top"/>
          </w:tcPr>
          <w:p>
            <w:pPr>
              <w:pStyle w:val="2"/>
              <w:spacing w:after="0" w:line="560" w:lineRule="exact"/>
              <w:ind w:firstLine="580" w:firstLineChars="200"/>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严重缺陷：0项</w:t>
            </w:r>
          </w:p>
          <w:p>
            <w:pPr>
              <w:pStyle w:val="2"/>
              <w:spacing w:after="0" w:line="560" w:lineRule="exact"/>
              <w:ind w:firstLine="580" w:firstLineChars="200"/>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主要缺陷：1项</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1.计算机系统用户名及密码设置为自动登录。（*05901）</w:t>
            </w:r>
          </w:p>
          <w:p>
            <w:pPr>
              <w:pStyle w:val="2"/>
              <w:spacing w:after="0" w:line="560" w:lineRule="exact"/>
              <w:ind w:firstLine="580" w:firstLineChars="200"/>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一般缺陷：3项</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1.2018年以来建立的岗前培训档案缺少考核试卷；（02702）</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2.未配备专职或者兼职人员负责售后投诉管理；（11501）</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textAlignment w:val="auto"/>
              <w:outlineLvl w:val="9"/>
              <w:rPr>
                <w:rFonts w:ascii="仿宋_GB2312" w:hAnsi="宋体" w:eastAsia="仿宋_GB2312"/>
                <w:spacing w:val="5"/>
                <w:sz w:val="28"/>
                <w:szCs w:val="28"/>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3.质量管理部门未配备专职或者兼职人员承担药品不良反应监测和报告工作。（11901）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169" w:type="dxa"/>
            <w:gridSpan w:val="4"/>
            <w:vAlign w:val="center"/>
          </w:tcPr>
          <w:p>
            <w:pPr>
              <w:pStyle w:val="2"/>
              <w:spacing w:after="0" w:line="400" w:lineRule="exact"/>
              <w:contextualSpacing/>
              <w:jc w:val="center"/>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9169" w:type="dxa"/>
            <w:gridSpan w:val="4"/>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要求企业按照《药品经营质量管理规范》（总局令第28号）限期整改。</w:t>
            </w:r>
          </w:p>
        </w:tc>
      </w:tr>
    </w:tbl>
    <w:p>
      <w:pPr>
        <w:pStyle w:val="2"/>
        <w:spacing w:after="0" w:line="440" w:lineRule="exact"/>
        <w:ind w:firstLine="220" w:firstLineChars="50"/>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关于对天地民生医药集团有限公司安阳</w:t>
      </w:r>
    </w:p>
    <w:p>
      <w:pPr>
        <w:pStyle w:val="2"/>
        <w:spacing w:after="0" w:line="440" w:lineRule="exact"/>
        <w:ind w:firstLine="220" w:firstLineChars="50"/>
        <w:contextualSpacing/>
        <w:jc w:val="center"/>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sz w:val="44"/>
          <w:szCs w:val="44"/>
        </w:rPr>
        <w:t>分公司随机抽查的情况</w:t>
      </w:r>
    </w:p>
    <w:p>
      <w:pPr>
        <w:pStyle w:val="2"/>
        <w:spacing w:after="0" w:line="440" w:lineRule="exact"/>
        <w:ind w:firstLine="165" w:firstLineChars="50"/>
        <w:contextualSpacing/>
        <w:jc w:val="center"/>
        <w:rPr>
          <w:rFonts w:ascii="仿宋_GB2312" w:hAnsi="宋体" w:eastAsia="仿宋_GB2312"/>
          <w:spacing w:val="5"/>
          <w:sz w:val="32"/>
          <w:szCs w:val="32"/>
        </w:rPr>
      </w:pPr>
    </w:p>
    <w:tbl>
      <w:tblPr>
        <w:tblStyle w:val="5"/>
        <w:tblW w:w="9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118"/>
        <w:gridCol w:w="141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企业名称</w:t>
            </w:r>
          </w:p>
        </w:tc>
        <w:tc>
          <w:tcPr>
            <w:tcW w:w="7319" w:type="dxa"/>
            <w:gridSpan w:val="3"/>
            <w:vAlign w:val="center"/>
          </w:tcPr>
          <w:p>
            <w:pPr>
              <w:pStyle w:val="2"/>
              <w:spacing w:after="0" w:line="560" w:lineRule="exact"/>
              <w:contextualSpacing/>
              <w:jc w:val="both"/>
              <w:rPr>
                <w:rFonts w:ascii="仿宋_GB2312" w:hAnsi="仿宋" w:eastAsia="仿宋_GB2312"/>
                <w:spacing w:val="5"/>
                <w:sz w:val="28"/>
                <w:szCs w:val="28"/>
                <w:lang w:val="en-US" w:eastAsia="zh-CN"/>
              </w:rPr>
            </w:pPr>
            <w:r>
              <w:rPr>
                <w:rFonts w:hint="eastAsia" w:ascii="仿宋_GB2312" w:hAnsi="仿宋_GB2312" w:eastAsia="仿宋_GB2312" w:cs="仿宋_GB2312"/>
                <w:sz w:val="32"/>
                <w:szCs w:val="32"/>
              </w:rPr>
              <w:t>天地民生医药集团有限公司安阳分公司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注册地址</w:t>
            </w:r>
          </w:p>
        </w:tc>
        <w:tc>
          <w:tcPr>
            <w:tcW w:w="3118" w:type="dxa"/>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安阳市人民大道东段路北（人民大道与光明路交叉口路北）</w:t>
            </w:r>
          </w:p>
        </w:tc>
        <w:tc>
          <w:tcPr>
            <w:tcW w:w="1418"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仓库地址</w:t>
            </w:r>
          </w:p>
        </w:tc>
        <w:tc>
          <w:tcPr>
            <w:tcW w:w="2783" w:type="dxa"/>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安阳市人民大道东段路北（人民大道与光明路交叉口路北）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许可证编号</w:t>
            </w:r>
          </w:p>
        </w:tc>
        <w:tc>
          <w:tcPr>
            <w:tcW w:w="3118" w:type="dxa"/>
            <w:vAlign w:val="center"/>
          </w:tcPr>
          <w:p>
            <w:pPr>
              <w:pStyle w:val="2"/>
              <w:spacing w:after="0" w:line="360" w:lineRule="exact"/>
              <w:contextualSpacing/>
              <w:jc w:val="both"/>
              <w:rPr>
                <w:rFonts w:ascii="宋体" w:hAnsi="宋体" w:cs="宋体"/>
                <w:sz w:val="28"/>
                <w:szCs w:val="28"/>
                <w:lang w:val="en-US" w:eastAsia="zh-CN"/>
              </w:rPr>
            </w:pPr>
            <w:r>
              <w:rPr>
                <w:rFonts w:hint="eastAsia" w:ascii="仿宋_GB2312" w:hAnsi="宋体" w:eastAsia="仿宋_GB2312"/>
                <w:spacing w:val="5"/>
                <w:sz w:val="28"/>
                <w:szCs w:val="28"/>
                <w:lang w:val="en-US" w:eastAsia="zh-CN"/>
              </w:rPr>
              <w:t>豫AB3720362</w:t>
            </w:r>
          </w:p>
        </w:tc>
        <w:tc>
          <w:tcPr>
            <w:tcW w:w="1418"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GSP证书编号</w:t>
            </w:r>
          </w:p>
        </w:tc>
        <w:tc>
          <w:tcPr>
            <w:tcW w:w="2783"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仿宋_GB2312" w:hAnsi="宋体" w:eastAsia="仿宋_GB2312"/>
                <w:spacing w:val="5"/>
                <w:sz w:val="28"/>
                <w:szCs w:val="28"/>
                <w:lang w:val="en-US" w:eastAsia="zh-CN"/>
              </w:rPr>
              <w:t>A-HEN18-012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经营范围</w:t>
            </w:r>
          </w:p>
        </w:tc>
        <w:tc>
          <w:tcPr>
            <w:tcW w:w="7319" w:type="dxa"/>
            <w:gridSpan w:val="3"/>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中药饮片、中成药、生化药品、生物制品（除疫苗）、化学药制剂、抗生素制剂、蛋白同化制剂、肽类激素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检查时间</w:t>
            </w:r>
          </w:p>
        </w:tc>
        <w:tc>
          <w:tcPr>
            <w:tcW w:w="7319" w:type="dxa"/>
            <w:gridSpan w:val="3"/>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2018年9月14日—9月16日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0" w:type="dxa"/>
            <w:vAlign w:val="center"/>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检查依据</w:t>
            </w:r>
          </w:p>
        </w:tc>
        <w:tc>
          <w:tcPr>
            <w:tcW w:w="7319" w:type="dxa"/>
            <w:gridSpan w:val="3"/>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《药品经营质量管理规范》《药品经营质量管理规范现场检查指导原则》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9169" w:type="dxa"/>
            <w:gridSpan w:val="4"/>
            <w:vAlign w:val="top"/>
          </w:tcPr>
          <w:p>
            <w:pPr>
              <w:pStyle w:val="2"/>
              <w:spacing w:after="0" w:line="360" w:lineRule="exact"/>
              <w:contextualSpacing/>
              <w:jc w:val="both"/>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检查发现的问题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9169" w:type="dxa"/>
            <w:gridSpan w:val="4"/>
            <w:vAlign w:val="top"/>
          </w:tcPr>
          <w:p>
            <w:pPr>
              <w:pStyle w:val="2"/>
              <w:spacing w:after="0" w:line="560" w:lineRule="exact"/>
              <w:ind w:firstLine="580" w:firstLineChars="200"/>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严重缺陷：0项</w:t>
            </w:r>
          </w:p>
          <w:p>
            <w:pPr>
              <w:pStyle w:val="2"/>
              <w:spacing w:after="0" w:line="560" w:lineRule="exact"/>
              <w:ind w:firstLine="580" w:firstLineChars="200"/>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主要缺陷：5项</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1.自经营以来，由于开错等原因存在多批次药品的销后退回情况，企业开展内审时，未对此现象进行分析并制定相应的改进措施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（*00901）</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2.新入职中药饮片验收员，岗前培训缺少中药相关知识和验收岗位职责等内容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（*02501）</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3.培训效果不佳，销售部经理对终止妊娠药品、含特殊药品复方制剂销售的有关规定和岗位职责不熟悉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（*02701）</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4.库房温湿度监控记录未以安全、可靠方式备份，备份记录和数据未存放在安全场所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（*06001）</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5.目前经营有1批含特殊药品复方制剂氨酚麻美干混悬剂（批号：18030523，生产企业：浙江康德药业集团有限公司），主要销售客户为个体诊所，但企业现有管理文件和资料均未体现与下游客户结账方式。（*09301）</w:t>
            </w:r>
          </w:p>
          <w:p>
            <w:pPr>
              <w:pStyle w:val="2"/>
              <w:spacing w:after="0" w:line="560" w:lineRule="exact"/>
              <w:ind w:firstLine="580" w:firstLineChars="200"/>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一般缺陷：8项</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未设常温库，温湿度监测系统验证报告及《温湿度监测系统操作规程》规定阴凉库温度控制范围为0-20℃，检查组检查企业自开始经营的时间2018年3月20日至今的温湿度监测数据，虽未发现低于10℃以下，但企业未制定措施来控制需常温储存的药品存放在阴凉库中的风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（01001）</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2.从事销售的个别工作人员未提供学历证书原件，如：销售人员申伟伟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（02402）</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3.健康档案建立不完整，部分岗位人员如质量部经理刘海龙、中药饮片验收员王霞体检档案未显示检查项目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（03001）</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4.一层阴凉库西墙面有大块脱落物，零货区空货架上方屋顶漏水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（04603）</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5.库房未采取可靠的安全防护措施，未能对无关人员进入施行可控管理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（04604）</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6.声称备用发电机组发生故障正在维修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现场检查时，企业无备用发电机组也未提供维修证明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（04904）</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7.建立的运输记录缺少一般药品的运输记录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（09905）</w:t>
            </w:r>
          </w:p>
          <w:p>
            <w:pPr>
              <w:keepNext w:val="0"/>
              <w:keepLines w:val="0"/>
              <w:pageBreakBefore w:val="0"/>
              <w:kinsoku/>
              <w:wordWrap/>
              <w:overflowPunct/>
              <w:topLinePunct w:val="0"/>
              <w:autoSpaceDE/>
              <w:autoSpaceDN/>
              <w:bidi w:val="0"/>
              <w:spacing w:beforeLines="20" w:line="560" w:lineRule="exact"/>
              <w:ind w:left="0" w:leftChars="0" w:right="0" w:rightChars="0" w:firstLine="640" w:firstLineChars="200"/>
              <w:jc w:val="both"/>
              <w:textAlignment w:val="auto"/>
              <w:outlineLvl w:val="9"/>
              <w:rPr>
                <w:rFonts w:ascii="仿宋_GB2312" w:hAnsi="宋体" w:eastAsia="仿宋_GB2312"/>
                <w:spacing w:val="5"/>
                <w:sz w:val="28"/>
                <w:szCs w:val="28"/>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8.制定的投诉管理操作规程缺少投诉渠道和投诉方式。（11401）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169" w:type="dxa"/>
            <w:gridSpan w:val="4"/>
            <w:vAlign w:val="center"/>
          </w:tcPr>
          <w:p>
            <w:pPr>
              <w:pStyle w:val="2"/>
              <w:spacing w:after="0" w:line="400" w:lineRule="exact"/>
              <w:contextualSpacing/>
              <w:jc w:val="center"/>
              <w:rPr>
                <w:rFonts w:ascii="宋体" w:hAnsi="宋体" w:eastAsia="宋体"/>
                <w:spacing w:val="5"/>
                <w:sz w:val="28"/>
                <w:szCs w:val="28"/>
                <w:lang w:val="en-US" w:eastAsia="zh-CN"/>
              </w:rPr>
            </w:pPr>
            <w:r>
              <w:rPr>
                <w:rFonts w:hint="eastAsia" w:ascii="宋体" w:hAnsi="宋体" w:eastAsia="宋体"/>
                <w:spacing w:val="5"/>
                <w:sz w:val="28"/>
                <w:szCs w:val="28"/>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9169" w:type="dxa"/>
            <w:gridSpan w:val="4"/>
            <w:vAlign w:val="center"/>
          </w:tcPr>
          <w:p>
            <w:pPr>
              <w:pStyle w:val="2"/>
              <w:spacing w:after="0" w:line="560" w:lineRule="exact"/>
              <w:contextualSpacing/>
              <w:jc w:val="both"/>
              <w:rPr>
                <w:rFonts w:ascii="仿宋_GB2312" w:hAnsi="宋体" w:eastAsia="仿宋_GB2312"/>
                <w:spacing w:val="5"/>
                <w:sz w:val="28"/>
                <w:szCs w:val="28"/>
                <w:lang w:val="en-US" w:eastAsia="zh-CN"/>
              </w:rPr>
            </w:pPr>
            <w:r>
              <w:rPr>
                <w:rFonts w:hint="eastAsia" w:ascii="仿宋_GB2312" w:hAnsi="宋体" w:eastAsia="仿宋_GB2312"/>
                <w:spacing w:val="5"/>
                <w:sz w:val="28"/>
                <w:szCs w:val="28"/>
                <w:lang w:val="en-US" w:eastAsia="zh-CN"/>
              </w:rPr>
              <w:t>要求企业按照《药品经营质量管理规范》（总局令第28号）限期整改。</w:t>
            </w:r>
          </w:p>
        </w:tc>
      </w:tr>
    </w:tbl>
    <w:p/>
    <w:p/>
    <w:p/>
    <w:p/>
    <w:p/>
    <w:p/>
    <w:p/>
    <w:p/>
    <w:p/>
    <w:p/>
    <w:p/>
    <w:p/>
    <w:p/>
    <w:p/>
    <w:p/>
    <w:p/>
    <w:p/>
    <w:p/>
    <w:p/>
    <w:p/>
    <w:p/>
    <w:p/>
    <w:p/>
    <w:p/>
    <w:p/>
    <w:p/>
    <w:p/>
    <w:p/>
    <w:p/>
    <w:p>
      <w:bookmarkStart w:id="0" w:name="_GoBack"/>
      <w:bookmarkEnd w:id="0"/>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2669B"/>
    <w:multiLevelType w:val="singleLevel"/>
    <w:tmpl w:val="5BD2669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15155"/>
    <w:rsid w:val="011619B7"/>
    <w:rsid w:val="02FD464C"/>
    <w:rsid w:val="04265EC3"/>
    <w:rsid w:val="0D6F7C63"/>
    <w:rsid w:val="0EAF58CE"/>
    <w:rsid w:val="0F8654C7"/>
    <w:rsid w:val="12205828"/>
    <w:rsid w:val="15765D18"/>
    <w:rsid w:val="15AC226D"/>
    <w:rsid w:val="16496759"/>
    <w:rsid w:val="172648C5"/>
    <w:rsid w:val="1885663D"/>
    <w:rsid w:val="19604C5B"/>
    <w:rsid w:val="1D423196"/>
    <w:rsid w:val="1D9B4627"/>
    <w:rsid w:val="1E372994"/>
    <w:rsid w:val="23773830"/>
    <w:rsid w:val="23C25BFF"/>
    <w:rsid w:val="27DC07CB"/>
    <w:rsid w:val="2B155493"/>
    <w:rsid w:val="2E8B7A27"/>
    <w:rsid w:val="3CD75EE9"/>
    <w:rsid w:val="3DC43B88"/>
    <w:rsid w:val="3F027266"/>
    <w:rsid w:val="48FD5E6A"/>
    <w:rsid w:val="498902C1"/>
    <w:rsid w:val="4BB47E05"/>
    <w:rsid w:val="526F55FD"/>
    <w:rsid w:val="55F8088F"/>
    <w:rsid w:val="56E33C8B"/>
    <w:rsid w:val="58515155"/>
    <w:rsid w:val="5F421BEB"/>
    <w:rsid w:val="64F96766"/>
    <w:rsid w:val="666145B5"/>
    <w:rsid w:val="66F55A2F"/>
    <w:rsid w:val="6FA07DE8"/>
    <w:rsid w:val="6FEB08E6"/>
    <w:rsid w:val="78497B23"/>
    <w:rsid w:val="7B8064F5"/>
    <w:rsid w:val="7BB64B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ascii="Times" w:hAnsi="Times" w:eastAsia="新宋体" w:cs="Times New Roman"/>
      <w:kern w:val="0"/>
      <w:sz w:val="30"/>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2018-10-24T09:16:00Z</dcterms:created>
  <dc:creator>406-yt</dc:creator>
  <cp:lastModifiedBy>406-yt</cp:lastModifiedBy>
  <dcterms:modified xsi:type="dcterms:W3CDTF">2018-10-30T01:48:36Z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