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00" w:rsidRDefault="00C73300">
      <w:pPr>
        <w:jc w:val="center"/>
        <w:rPr>
          <w:rFonts w:ascii="方正小标宋简体" w:eastAsia="方正小标宋简体" w:hAnsi="方正小标宋简体" w:cs="方正小标宋简体"/>
          <w:sz w:val="52"/>
          <w:szCs w:val="52"/>
        </w:rPr>
      </w:pPr>
    </w:p>
    <w:p w:rsidR="00C73300" w:rsidRDefault="00C73300">
      <w:pPr>
        <w:jc w:val="center"/>
        <w:rPr>
          <w:rFonts w:ascii="方正小标宋简体" w:eastAsia="方正小标宋简体" w:hAnsi="方正小标宋简体" w:cs="方正小标宋简体"/>
          <w:sz w:val="52"/>
          <w:szCs w:val="52"/>
        </w:rPr>
      </w:pPr>
    </w:p>
    <w:p w:rsidR="00C73300" w:rsidRDefault="00C73300">
      <w:pPr>
        <w:jc w:val="center"/>
        <w:rPr>
          <w:rFonts w:ascii="方正小标宋简体" w:eastAsia="方正小标宋简体" w:hAnsi="方正小标宋简体" w:cs="方正小标宋简体"/>
          <w:sz w:val="52"/>
          <w:szCs w:val="52"/>
        </w:rPr>
      </w:pPr>
    </w:p>
    <w:p w:rsidR="00C73300" w:rsidRDefault="00C73300">
      <w:pPr>
        <w:jc w:val="center"/>
        <w:rPr>
          <w:rFonts w:ascii="方正小标宋简体" w:eastAsia="方正小标宋简体" w:hAnsi="方正小标宋简体" w:cs="方正小标宋简体"/>
          <w:sz w:val="52"/>
          <w:szCs w:val="52"/>
        </w:rPr>
      </w:pPr>
    </w:p>
    <w:p w:rsidR="00C73300" w:rsidRDefault="00C73300">
      <w:pPr>
        <w:jc w:val="center"/>
        <w:rPr>
          <w:rFonts w:ascii="方正小标宋简体" w:eastAsia="方正小标宋简体" w:hAnsi="方正小标宋简体" w:cs="方正小标宋简体"/>
          <w:sz w:val="52"/>
          <w:szCs w:val="52"/>
        </w:rPr>
      </w:pPr>
    </w:p>
    <w:p w:rsidR="00C73300" w:rsidRDefault="008B16B5">
      <w:pPr>
        <w:jc w:val="center"/>
        <w:rPr>
          <w:rFonts w:ascii="黑体" w:eastAsia="黑体" w:hAnsi="黑体" w:cs="黑体"/>
          <w:sz w:val="52"/>
          <w:szCs w:val="52"/>
        </w:rPr>
      </w:pPr>
      <w:r>
        <w:rPr>
          <w:rFonts w:ascii="隶书" w:eastAsia="隶书" w:hAnsi="隶书" w:cs="隶书" w:hint="eastAsia"/>
          <w:sz w:val="52"/>
          <w:szCs w:val="52"/>
        </w:rPr>
        <w:t>浉河区委群工部</w:t>
      </w:r>
    </w:p>
    <w:p w:rsidR="00C73300" w:rsidRDefault="008B16B5">
      <w:pPr>
        <w:jc w:val="center"/>
        <w:rPr>
          <w:rFonts w:ascii="隶书" w:eastAsia="隶书" w:hAnsi="隶书" w:cs="隶书"/>
          <w:sz w:val="52"/>
          <w:szCs w:val="52"/>
        </w:rPr>
      </w:pPr>
      <w:r>
        <w:rPr>
          <w:rFonts w:ascii="隶书" w:eastAsia="隶书" w:hAnsi="隶书" w:cs="隶书" w:hint="eastAsia"/>
          <w:sz w:val="52"/>
          <w:szCs w:val="52"/>
        </w:rPr>
        <w:t>2017年度部门决算</w:t>
      </w:r>
    </w:p>
    <w:p w:rsidR="00C73300" w:rsidRDefault="00C73300">
      <w:pPr>
        <w:jc w:val="center"/>
        <w:rPr>
          <w:rFonts w:ascii="隶书" w:eastAsia="隶书" w:hAnsi="隶书" w:cs="隶书"/>
          <w:sz w:val="52"/>
          <w:szCs w:val="52"/>
        </w:rPr>
      </w:pPr>
    </w:p>
    <w:p w:rsidR="00C73300" w:rsidRDefault="00C73300">
      <w:pPr>
        <w:jc w:val="center"/>
        <w:rPr>
          <w:rFonts w:ascii="隶书" w:eastAsia="隶书" w:hAnsi="隶书" w:cs="隶书"/>
          <w:sz w:val="52"/>
          <w:szCs w:val="52"/>
        </w:rPr>
      </w:pPr>
    </w:p>
    <w:p w:rsidR="00C73300" w:rsidRDefault="00C73300">
      <w:pPr>
        <w:jc w:val="center"/>
        <w:rPr>
          <w:rFonts w:ascii="隶书" w:eastAsia="隶书" w:hAnsi="隶书" w:cs="隶书"/>
          <w:sz w:val="52"/>
          <w:szCs w:val="52"/>
        </w:rPr>
      </w:pPr>
    </w:p>
    <w:p w:rsidR="00C73300" w:rsidRDefault="008B16B5">
      <w:pPr>
        <w:rPr>
          <w:rFonts w:ascii="仿宋" w:eastAsia="仿宋" w:hAnsi="仿宋" w:cs="隶书"/>
          <w:sz w:val="32"/>
          <w:szCs w:val="32"/>
        </w:rPr>
        <w:sectPr w:rsidR="00C73300">
          <w:pgSz w:w="11906" w:h="16838"/>
          <w:pgMar w:top="1440" w:right="1800" w:bottom="1440" w:left="1800" w:header="851" w:footer="992" w:gutter="0"/>
          <w:pgNumType w:fmt="numberInDash" w:start="1"/>
          <w:cols w:space="425"/>
          <w:docGrid w:type="lines" w:linePitch="312"/>
        </w:sectPr>
      </w:pPr>
      <w:r>
        <w:rPr>
          <w:rFonts w:ascii="仿宋" w:eastAsia="仿宋" w:hAnsi="仿宋" w:cs="隶书" w:hint="eastAsia"/>
          <w:sz w:val="32"/>
          <w:szCs w:val="32"/>
        </w:rPr>
        <w:t>公开单位联系人：王慧芳      联系方式：0376-6612685</w:t>
      </w:r>
    </w:p>
    <w:p w:rsidR="00C73300" w:rsidRDefault="008B16B5">
      <w:pPr>
        <w:jc w:val="center"/>
        <w:rPr>
          <w:rFonts w:ascii="黑体" w:eastAsia="黑体" w:hAnsi="黑体" w:cs="黑体"/>
          <w:sz w:val="32"/>
          <w:szCs w:val="32"/>
        </w:rPr>
      </w:pPr>
      <w:r>
        <w:rPr>
          <w:rFonts w:ascii="黑体" w:eastAsia="黑体" w:hAnsi="黑体" w:cs="黑体" w:hint="eastAsia"/>
          <w:sz w:val="32"/>
          <w:szCs w:val="32"/>
        </w:rPr>
        <w:lastRenderedPageBreak/>
        <w:t>目　　录</w:t>
      </w:r>
    </w:p>
    <w:p w:rsidR="00C73300" w:rsidRDefault="008B16B5">
      <w:pPr>
        <w:jc w:val="left"/>
        <w:rPr>
          <w:rFonts w:ascii="黑体" w:eastAsia="黑体" w:hAnsi="黑体" w:cs="黑体"/>
          <w:sz w:val="32"/>
          <w:szCs w:val="32"/>
        </w:rPr>
      </w:pPr>
      <w:r>
        <w:rPr>
          <w:rFonts w:ascii="黑体" w:eastAsia="黑体" w:hAnsi="黑体" w:cs="黑体" w:hint="eastAsia"/>
          <w:sz w:val="32"/>
          <w:szCs w:val="32"/>
        </w:rPr>
        <w:t>第一部分　区委群工部概况</w:t>
      </w:r>
    </w:p>
    <w:p w:rsidR="00C73300" w:rsidRDefault="008B16B5">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主要职能</w:t>
      </w:r>
    </w:p>
    <w:p w:rsidR="00C73300" w:rsidRDefault="008B16B5">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C73300" w:rsidRDefault="008B16B5">
      <w:pPr>
        <w:jc w:val="left"/>
        <w:rPr>
          <w:rFonts w:ascii="黑体" w:eastAsia="黑体" w:hAnsi="黑体" w:cs="黑体"/>
          <w:sz w:val="32"/>
          <w:szCs w:val="32"/>
        </w:rPr>
      </w:pPr>
      <w:r>
        <w:rPr>
          <w:rFonts w:ascii="黑体" w:eastAsia="黑体" w:hAnsi="黑体" w:cs="黑体" w:hint="eastAsia"/>
          <w:sz w:val="32"/>
          <w:szCs w:val="32"/>
        </w:rPr>
        <w:t>第二部分　　区委群工部2017年度部门决算情况说明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一、关于收入支出决算总体情况说明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二、关于收入决算表情况说明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三、关于支出决算表情况说明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四、关于财政拨款收入支出决算总体情况说明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五、关于一般公共预算财政拨款支出决算情况说明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六、关于一般公共预算财政拨款基本支出决算情况说明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七、关于一般公共预算财政拨款“三公”经费支出决算情况说明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八、关于预算绩效情况说明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九、关于政府性基金预算财政拨款收入支出决算情况说明</w:t>
      </w:r>
    </w:p>
    <w:p w:rsidR="00C73300" w:rsidRDefault="008B16B5">
      <w:pPr>
        <w:jc w:val="left"/>
        <w:rPr>
          <w:rFonts w:ascii="宋体" w:eastAsia="宋体" w:hAnsi="宋体" w:cs="宋体"/>
          <w:sz w:val="32"/>
          <w:szCs w:val="32"/>
        </w:rPr>
      </w:pPr>
      <w:r>
        <w:rPr>
          <w:rFonts w:ascii="宋体" w:eastAsia="宋体" w:hAnsi="宋体" w:cs="宋体" w:hint="eastAsia"/>
          <w:sz w:val="32"/>
          <w:szCs w:val="32"/>
        </w:rPr>
        <w:t>十、其他重要事项情况说明</w:t>
      </w:r>
    </w:p>
    <w:p w:rsidR="00C73300" w:rsidRDefault="008B16B5">
      <w:pPr>
        <w:jc w:val="left"/>
        <w:rPr>
          <w:rFonts w:ascii="黑体" w:eastAsia="黑体" w:hAnsi="黑体" w:cs="黑体"/>
          <w:sz w:val="32"/>
          <w:szCs w:val="32"/>
        </w:rPr>
        <w:sectPr w:rsidR="00C73300">
          <w:footerReference w:type="default" r:id="rId8"/>
          <w:pgSz w:w="11906" w:h="16838"/>
          <w:pgMar w:top="1440" w:right="1800" w:bottom="1440" w:left="1800" w:header="851" w:footer="992" w:gutter="0"/>
          <w:pgNumType w:fmt="numberInDash"/>
          <w:cols w:space="425"/>
          <w:docGrid w:type="lines" w:linePitch="312"/>
        </w:sectPr>
      </w:pPr>
      <w:r>
        <w:rPr>
          <w:rFonts w:ascii="黑体" w:eastAsia="黑体" w:hAnsi="黑体" w:cs="黑体" w:hint="eastAsia"/>
          <w:sz w:val="32"/>
          <w:szCs w:val="32"/>
        </w:rPr>
        <w:t>第三部分　　名词解释</w:t>
      </w: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8B16B5">
      <w:pPr>
        <w:jc w:val="center"/>
        <w:outlineLvl w:val="0"/>
        <w:rPr>
          <w:rFonts w:ascii="隶书" w:eastAsia="隶书" w:hAnsi="隶书" w:cs="隶书"/>
          <w:sz w:val="48"/>
          <w:szCs w:val="48"/>
        </w:rPr>
        <w:sectPr w:rsidR="00C73300">
          <w:footerReference w:type="default" r:id="rId9"/>
          <w:pgSz w:w="11906" w:h="16838"/>
          <w:pgMar w:top="1440" w:right="1800" w:bottom="1440" w:left="1800" w:header="851" w:footer="992" w:gutter="0"/>
          <w:pgNumType w:fmt="numberInDash" w:start="1"/>
          <w:cols w:space="425"/>
          <w:docGrid w:type="lines" w:linePitch="312"/>
        </w:sectPr>
      </w:pPr>
      <w:r>
        <w:rPr>
          <w:rFonts w:ascii="隶书" w:eastAsia="隶书" w:hAnsi="隶书" w:cs="隶书" w:hint="eastAsia"/>
          <w:sz w:val="48"/>
          <w:szCs w:val="48"/>
        </w:rPr>
        <w:t>第一部分　　浉河区委群工部概况</w:t>
      </w:r>
    </w:p>
    <w:p w:rsidR="00C73300" w:rsidRDefault="008B16B5">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主要职能</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（一）贯彻党的群众路线，集中反映社情民意，维护群众合法权益，化解人民内部矛盾，综合指导全区群众工作。</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（二）负责制定全区群众工作、信访工作的有关政策、规定。并组织实施；负责《信访条例》等法规的组织实施；负责信访事项的复查复核工作。</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（三）协调政府有关部门对涉及群众利益的政策调整、重大项目建设进行社会稳定风险和信访评估；组织开展矛盾纠纷排查化解工作。</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四）代表区委、区政府受理人民群众来信来访，为来信来访群众提供有关法律、法规和政策咨询服务；协调组织区处级领导干部接待群众来访，组织区直机关干部下访督查信访工作；负责中央、省、市党代会、人代会期间等重要时期的信访稳定工作；负责组织协调驻京驻省信访劝返工作。</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五）承办上级领导机关和区委、区政府领导交办的信访事项，督促检查领导同志批示件的落实情况；协调处理跨乡镇、跨部门的信访事项及群众赴京到省、市上访和突发上访事件；向有关单位交办信访事项，督促检查重要信访事项的处理和落实；负责办理信访案件，审结要结果案件；负责重点疑难信访案件的调查和处理。</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（六）代表区委、区政府监督、检查有关群众利益政策的贯彻落实，纠正损害群众利益的行为；对重要信访案件实</w:t>
      </w:r>
      <w:r>
        <w:rPr>
          <w:rFonts w:ascii="仿宋_GB2312" w:eastAsia="仿宋_GB2312" w:hint="eastAsia"/>
          <w:sz w:val="32"/>
          <w:szCs w:val="32"/>
        </w:rPr>
        <w:lastRenderedPageBreak/>
        <w:t>施个案监督，对违反群众工作纪律，处理群众信访问题不力的责任单位和责任人，提出责任追究建议。</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（七）分析研究信访工作形势，组织开展群众工作的调查研究，征集群众建议，及时向区委、区政府提供参考和决策信息，并对重要问题提出意见和建议。</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（八）负责群众工作、信访工作执行情况的考核、通报；及时总结推广先进工作经验；指导群众工作基层基础建设；指导信访工作信息化和干部队伍建设。</w:t>
      </w:r>
    </w:p>
    <w:p w:rsidR="00C73300" w:rsidRDefault="008B16B5">
      <w:pPr>
        <w:spacing w:line="460" w:lineRule="atLeast"/>
        <w:ind w:firstLineChars="200" w:firstLine="640"/>
        <w:rPr>
          <w:rFonts w:ascii="仿宋_GB2312" w:eastAsia="仿宋_GB2312"/>
          <w:sz w:val="32"/>
          <w:szCs w:val="32"/>
        </w:rPr>
      </w:pPr>
      <w:r>
        <w:rPr>
          <w:rFonts w:ascii="仿宋_GB2312" w:eastAsia="仿宋_GB2312" w:hint="eastAsia"/>
          <w:sz w:val="32"/>
          <w:szCs w:val="32"/>
        </w:rPr>
        <w:t>（九）承办区委、区政府交办的其他事项。</w:t>
      </w:r>
    </w:p>
    <w:p w:rsidR="00C73300" w:rsidRDefault="008B16B5">
      <w:pPr>
        <w:numPr>
          <w:ilvl w:val="0"/>
          <w:numId w:val="3"/>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C73300" w:rsidRDefault="008B16B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纳入区委群工部</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C73300" w:rsidRDefault="008B16B5">
      <w:pPr>
        <w:numPr>
          <w:ilvl w:val="0"/>
          <w:numId w:val="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区委群工部本级</w:t>
      </w: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8B16B5">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C73300" w:rsidRDefault="008B16B5">
      <w:pPr>
        <w:jc w:val="center"/>
        <w:rPr>
          <w:rFonts w:ascii="隶书" w:eastAsia="隶书" w:hAnsi="隶书" w:cs="隶书"/>
          <w:sz w:val="48"/>
          <w:szCs w:val="48"/>
        </w:rPr>
      </w:pPr>
      <w:r>
        <w:rPr>
          <w:rFonts w:ascii="隶书" w:eastAsia="隶书" w:hAnsi="隶书" w:cs="隶书" w:hint="eastAsia"/>
          <w:sz w:val="48"/>
          <w:szCs w:val="48"/>
        </w:rPr>
        <w:lastRenderedPageBreak/>
        <w:t>浉河区委群工部</w:t>
      </w:r>
    </w:p>
    <w:p w:rsidR="00C73300" w:rsidRDefault="008B16B5">
      <w:pPr>
        <w:jc w:val="center"/>
        <w:rPr>
          <w:rFonts w:ascii="隶书" w:eastAsia="隶书" w:hAnsi="隶书" w:cs="隶书"/>
          <w:sz w:val="48"/>
          <w:szCs w:val="48"/>
        </w:rPr>
        <w:sectPr w:rsidR="00C73300">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2017年度部门决算情况说明</w:t>
      </w: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C73300" w:rsidRDefault="008B16B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2017年度收入总计652.07万元，支出总计668.77万元，与2016年相比，收入增加32.17万元，同比增长5%；支出增加99.17万元，同比增长17%。</w:t>
      </w:r>
    </w:p>
    <w:p w:rsidR="00C73300" w:rsidRDefault="00C73300">
      <w:pPr>
        <w:adjustRightInd w:val="0"/>
        <w:snapToGrid w:val="0"/>
        <w:spacing w:line="360" w:lineRule="auto"/>
        <w:rPr>
          <w:rFonts w:ascii="仿宋_GB2312" w:eastAsia="仿宋_GB2312" w:hAnsi="宋体" w:cs="Courier New"/>
          <w:sz w:val="32"/>
          <w:szCs w:val="32"/>
        </w:rPr>
      </w:pPr>
    </w:p>
    <w:p w:rsidR="00C73300" w:rsidRDefault="00C73300">
      <w:pPr>
        <w:adjustRightInd w:val="0"/>
        <w:snapToGrid w:val="0"/>
        <w:spacing w:line="360" w:lineRule="auto"/>
        <w:rPr>
          <w:rFonts w:ascii="仿宋_GB2312" w:eastAsia="仿宋_GB2312" w:hAnsi="宋体" w:cs="Courier New"/>
          <w:sz w:val="32"/>
          <w:szCs w:val="32"/>
        </w:rPr>
      </w:pPr>
    </w:p>
    <w:p w:rsidR="00C73300" w:rsidRDefault="00C73300">
      <w:pPr>
        <w:adjustRightInd w:val="0"/>
        <w:snapToGrid w:val="0"/>
        <w:spacing w:line="360" w:lineRule="auto"/>
        <w:rPr>
          <w:rFonts w:ascii="仿宋_GB2312" w:eastAsia="仿宋_GB2312" w:hAnsi="宋体" w:cs="Courier New"/>
          <w:sz w:val="32"/>
          <w:szCs w:val="32"/>
        </w:rPr>
      </w:pP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C73300" w:rsidRDefault="008B16B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2017年度</w:t>
      </w:r>
      <w:r>
        <w:rPr>
          <w:rFonts w:ascii="仿宋_GB2312" w:eastAsia="仿宋_GB2312" w:hAnsi="Times New Roman" w:hint="eastAsia"/>
          <w:sz w:val="32"/>
          <w:szCs w:val="32"/>
        </w:rPr>
        <w:t>收入合计652.07万元，其中：财政拨款收入652.07万元。</w:t>
      </w:r>
    </w:p>
    <w:p w:rsidR="00C73300" w:rsidRDefault="00C73300">
      <w:pPr>
        <w:adjustRightInd w:val="0"/>
        <w:snapToGrid w:val="0"/>
        <w:spacing w:line="360" w:lineRule="auto"/>
        <w:ind w:firstLineChars="200" w:firstLine="640"/>
        <w:rPr>
          <w:rFonts w:ascii="仿宋_GB2312" w:eastAsia="仿宋_GB2312" w:hAnsi="Times New Roman"/>
          <w:sz w:val="32"/>
          <w:szCs w:val="32"/>
        </w:rPr>
      </w:pPr>
    </w:p>
    <w:p w:rsidR="00C73300" w:rsidRDefault="00C73300">
      <w:pPr>
        <w:adjustRightInd w:val="0"/>
        <w:snapToGrid w:val="0"/>
        <w:spacing w:line="360" w:lineRule="auto"/>
        <w:ind w:firstLineChars="200" w:firstLine="640"/>
        <w:rPr>
          <w:rFonts w:ascii="仿宋_GB2312" w:eastAsia="仿宋_GB2312" w:hAnsi="Times New Roman"/>
          <w:sz w:val="32"/>
          <w:szCs w:val="32"/>
        </w:rPr>
      </w:pP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C73300" w:rsidRDefault="008B16B5">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2017年度支出合计668.77万元，其中：基本支出668.77万元。</w:t>
      </w:r>
    </w:p>
    <w:p w:rsidR="00C73300" w:rsidRDefault="00C73300">
      <w:pPr>
        <w:adjustRightInd w:val="0"/>
        <w:snapToGrid w:val="0"/>
        <w:spacing w:line="360" w:lineRule="auto"/>
        <w:ind w:firstLineChars="200" w:firstLine="640"/>
        <w:rPr>
          <w:rFonts w:ascii="仿宋_GB2312" w:eastAsia="仿宋_GB2312" w:hAnsi="Times New Roman"/>
          <w:sz w:val="32"/>
          <w:szCs w:val="32"/>
        </w:rPr>
      </w:pPr>
    </w:p>
    <w:p w:rsidR="00C73300" w:rsidRDefault="00C73300">
      <w:pPr>
        <w:adjustRightInd w:val="0"/>
        <w:snapToGrid w:val="0"/>
        <w:spacing w:line="360" w:lineRule="auto"/>
        <w:ind w:firstLineChars="200" w:firstLine="640"/>
        <w:rPr>
          <w:rFonts w:ascii="仿宋_GB2312" w:eastAsia="仿宋_GB2312" w:hAnsi="Times New Roman"/>
          <w:sz w:val="32"/>
          <w:szCs w:val="32"/>
        </w:rPr>
      </w:pP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C73300" w:rsidRDefault="008B16B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2017年财政拨款收入总决算652.07万元，同比增加32.17万元，同比增长5%；支出总决算668.77，同比增加99.17万元，同比增长17%。</w:t>
      </w: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C73300" w:rsidRDefault="008B16B5">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C73300" w:rsidRDefault="008B16B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2017年一般公共预算财政拨款支出668.77万元，占支出合计的100%。与2016年相比，一般公共预算财政拨款支出增加99.17万元，同比增长17%。</w:t>
      </w: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8B16B5">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C73300" w:rsidRDefault="008B16B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2017年度一般公共预算财政拨款支出668.77万元，全部用于一般公共服务（类）支出。</w:t>
      </w: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8B16B5">
      <w:pPr>
        <w:numPr>
          <w:ilvl w:val="0"/>
          <w:numId w:val="6"/>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C73300" w:rsidRDefault="008B16B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2017年度一般公共预算财政拨款支出年初预算为545.1万元，支出决算为668.77万元，完成年初预算的123%。决算数大于预算数的主要原因：信访专项业务支出增加。</w:t>
      </w:r>
    </w:p>
    <w:p w:rsidR="00C73300" w:rsidRDefault="00C73300">
      <w:pPr>
        <w:adjustRightInd w:val="0"/>
        <w:snapToGrid w:val="0"/>
        <w:spacing w:line="360" w:lineRule="auto"/>
        <w:ind w:firstLineChars="200" w:firstLine="640"/>
        <w:rPr>
          <w:rFonts w:ascii="仿宋_GB2312" w:eastAsia="仿宋_GB2312" w:hAnsi="宋体" w:cs="Courier New"/>
          <w:sz w:val="32"/>
          <w:szCs w:val="32"/>
        </w:rPr>
      </w:pP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C73300" w:rsidRDefault="008B16B5">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2017年一般公共预算财政拨款基本支出513.33万元，其中：</w:t>
      </w:r>
      <w:r>
        <w:rPr>
          <w:rFonts w:ascii="仿宋_GB2312" w:eastAsia="仿宋_GB2312" w:hAnsi="Times New Roman" w:cs="仿宋_GB2312" w:hint="eastAsia"/>
          <w:b/>
          <w:spacing w:val="-1"/>
          <w:kern w:val="0"/>
          <w:sz w:val="32"/>
          <w:szCs w:val="32"/>
        </w:rPr>
        <w:t>工资福利支出</w:t>
      </w:r>
      <w:r>
        <w:rPr>
          <w:rFonts w:ascii="仿宋_GB2312" w:eastAsia="仿宋_GB2312" w:hAnsi="Times New Roman" w:cs="仿宋_GB2312" w:hint="eastAsia"/>
          <w:bCs/>
          <w:spacing w:val="-1"/>
          <w:kern w:val="0"/>
          <w:sz w:val="32"/>
          <w:szCs w:val="32"/>
        </w:rPr>
        <w:t>230.6万元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主要包括：基本工资、津贴补贴、奖金、社会保障缴费；</w:t>
      </w:r>
      <w:r>
        <w:rPr>
          <w:rFonts w:ascii="仿宋_GB2312" w:eastAsia="仿宋_GB2312" w:hAnsi="Times New Roman" w:cs="仿宋_GB2312" w:hint="eastAsia"/>
          <w:b/>
          <w:spacing w:val="-1"/>
          <w:kern w:val="0"/>
          <w:sz w:val="32"/>
          <w:szCs w:val="32"/>
        </w:rPr>
        <w:t>商品和服务支出</w:t>
      </w:r>
      <w:r>
        <w:rPr>
          <w:rFonts w:ascii="仿宋_GB2312" w:eastAsia="仿宋_GB2312" w:hAnsi="Times New Roman" w:cs="仿宋_GB2312" w:hint="eastAsia"/>
          <w:spacing w:val="-2"/>
          <w:kern w:val="0"/>
          <w:sz w:val="32"/>
          <w:szCs w:val="32"/>
        </w:rPr>
        <w:t>304.82万元</w:t>
      </w:r>
      <w:r>
        <w:rPr>
          <w:rFonts w:ascii="仿宋_GB2312" w:eastAsia="仿宋_GB2312" w:hAnsi="宋体" w:cs="Courier New" w:hint="eastAsia"/>
          <w:sz w:val="32"/>
          <w:szCs w:val="32"/>
        </w:rPr>
        <w:t>，主要包括：办公费、印刷费、邮电费、差旅费、会议费、公务招待费、工会经费、公务用车运行维护费、其他商品和服务支出。</w:t>
      </w:r>
      <w:r>
        <w:rPr>
          <w:rFonts w:ascii="仿宋_GB2312" w:eastAsia="仿宋_GB2312" w:hAnsi="宋体" w:cs="Courier New" w:hint="eastAsia"/>
          <w:b/>
          <w:bCs/>
          <w:sz w:val="32"/>
          <w:szCs w:val="32"/>
        </w:rPr>
        <w:t>对个人和家庭的补助</w:t>
      </w:r>
      <w:r>
        <w:rPr>
          <w:rFonts w:ascii="仿宋_GB2312" w:eastAsia="仿宋_GB2312" w:hAnsi="宋体" w:cs="Courier New" w:hint="eastAsia"/>
          <w:sz w:val="32"/>
          <w:szCs w:val="32"/>
        </w:rPr>
        <w:t>16.8万元，主要包括：住房公积金16.8万元。</w:t>
      </w: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C73300" w:rsidRDefault="008B16B5">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C73300" w:rsidRDefault="008B16B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预算为13万元，支出决算为11.9463万元，完成预算的92%，其中：公务用车运行费支出决算为2.2527万元，完成预算的75%；公务接待费支出决算为9.6936万元，完成预算的97%。2017年度“三公”经费支出决算数小于预算数的主要原因是：公务用车规范化、公务接待次数减少。</w:t>
      </w:r>
    </w:p>
    <w:p w:rsidR="00C73300" w:rsidRDefault="008B16B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三公”经费财政拨款支出决算数比2016年减少6.0537万元，下降34%，其中：公务用车运行费支出决算减少）0.8473万元，下降28%；公务接待费支出决算减少5.2万元，下降35%。公务用车购置及运行费支出减少的主要原因是公务用车规范化；公务接待费支出增加（减少）的主要原因是公务接待次数减少。</w:t>
      </w:r>
    </w:p>
    <w:p w:rsidR="00C73300" w:rsidRDefault="008B16B5">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“三公”经费财政拨款支出决算具体情况说明。</w:t>
      </w:r>
    </w:p>
    <w:p w:rsidR="00AF66E7" w:rsidRPr="00AF66E7" w:rsidRDefault="008B16B5" w:rsidP="00AF66E7">
      <w:pPr>
        <w:kinsoku w:val="0"/>
        <w:overflowPunct w:val="0"/>
        <w:autoSpaceDE w:val="0"/>
        <w:autoSpaceDN w:val="0"/>
        <w:adjustRightInd w:val="0"/>
        <w:snapToGrid w:val="0"/>
        <w:spacing w:line="360" w:lineRule="auto"/>
        <w:ind w:left="640" w:firstLineChars="200" w:firstLine="640"/>
        <w:rPr>
          <w:rFonts w:ascii="仿宋_GB2312" w:eastAsia="仿宋_GB2312" w:hAnsi="宋体" w:cs="Courier New"/>
          <w:b/>
          <w:bCs/>
          <w:sz w:val="32"/>
          <w:szCs w:val="32"/>
        </w:rPr>
      </w:pPr>
      <w:r>
        <w:rPr>
          <w:rFonts w:ascii="仿宋_GB2312" w:eastAsia="仿宋_GB2312" w:hAnsi="宋体" w:cs="Courier New" w:hint="eastAsia"/>
          <w:sz w:val="32"/>
          <w:szCs w:val="32"/>
        </w:rPr>
        <w:t>2017年度“三公”经费财政拨款支出决算中，</w:t>
      </w:r>
      <w:r w:rsidR="00AF66E7">
        <w:rPr>
          <w:rFonts w:ascii="仿宋_GB2312" w:eastAsia="仿宋_GB2312" w:hAnsi="宋体" w:cs="Courier New" w:hint="eastAsia"/>
          <w:sz w:val="32"/>
          <w:szCs w:val="32"/>
        </w:rPr>
        <w:t>因公出国（境）费支出决算0万元，占0%；</w:t>
      </w:r>
      <w:r>
        <w:rPr>
          <w:rFonts w:ascii="仿宋_GB2312" w:eastAsia="仿宋_GB2312" w:hAnsi="宋体" w:cs="Courier New" w:hint="eastAsia"/>
          <w:sz w:val="32"/>
          <w:szCs w:val="32"/>
        </w:rPr>
        <w:t>公务用车</w:t>
      </w:r>
      <w:r w:rsidR="00AF66E7">
        <w:rPr>
          <w:rFonts w:ascii="仿宋_GB2312" w:eastAsia="仿宋_GB2312" w:hAnsi="宋体" w:cs="Courier New" w:hint="eastAsia"/>
          <w:sz w:val="32"/>
          <w:szCs w:val="32"/>
        </w:rPr>
        <w:t>购置及</w:t>
      </w:r>
      <w:r>
        <w:rPr>
          <w:rFonts w:ascii="仿宋_GB2312" w:eastAsia="仿宋_GB2312" w:hAnsi="宋体" w:cs="Courier New" w:hint="eastAsia"/>
          <w:sz w:val="32"/>
          <w:szCs w:val="32"/>
        </w:rPr>
        <w:t>运行费支出决算2.2527万元，占19%；公务接待费支出决算9.6936万元，占81%。具体情况如下：</w:t>
      </w:r>
    </w:p>
    <w:p w:rsidR="00AF66E7" w:rsidRDefault="00AF66E7" w:rsidP="00AF66E7">
      <w:pPr>
        <w:kinsoku w:val="0"/>
        <w:overflowPunct w:val="0"/>
        <w:autoSpaceDE w:val="0"/>
        <w:autoSpaceDN w:val="0"/>
        <w:adjustRightInd w:val="0"/>
        <w:snapToGrid w:val="0"/>
        <w:spacing w:line="360" w:lineRule="auto"/>
        <w:ind w:left="640" w:firstLineChars="200" w:firstLine="640"/>
        <w:rPr>
          <w:rFonts w:ascii="仿宋_GB2312" w:eastAsia="仿宋_GB2312" w:hAnsi="宋体" w:cs="Courier New"/>
          <w:b/>
          <w:bCs/>
          <w:sz w:val="32"/>
          <w:szCs w:val="32"/>
        </w:rPr>
      </w:pPr>
      <w:r>
        <w:rPr>
          <w:rFonts w:ascii="仿宋_GB2312" w:eastAsia="仿宋_GB2312" w:hAnsi="宋体" w:cs="Courier New" w:hint="eastAsia"/>
          <w:sz w:val="32"/>
          <w:szCs w:val="32"/>
        </w:rPr>
        <w:t>1、</w:t>
      </w:r>
      <w:r>
        <w:rPr>
          <w:rFonts w:ascii="仿宋_GB2312" w:eastAsia="仿宋_GB2312" w:hAnsi="宋体" w:cs="Courier New" w:hint="eastAsia"/>
          <w:b/>
          <w:bCs/>
          <w:sz w:val="32"/>
          <w:szCs w:val="32"/>
        </w:rPr>
        <w:t>因公出国（境）费</w:t>
      </w:r>
      <w:r>
        <w:rPr>
          <w:rFonts w:ascii="仿宋_GB2312" w:eastAsia="仿宋_GB2312" w:hAnsi="宋体" w:cs="Courier New" w:hint="eastAsia"/>
          <w:sz w:val="32"/>
          <w:szCs w:val="32"/>
        </w:rPr>
        <w:t>支出0万元。全年安排</w:t>
      </w:r>
      <w:r>
        <w:rPr>
          <w:rFonts w:ascii="仿宋" w:eastAsia="仿宋" w:hAnsi="仿宋" w:cs="仿宋" w:hint="eastAsia"/>
          <w:color w:val="000000"/>
          <w:sz w:val="31"/>
          <w:szCs w:val="31"/>
        </w:rPr>
        <w:t>浉河区委群工部</w:t>
      </w:r>
      <w:r>
        <w:rPr>
          <w:rFonts w:ascii="仿宋_GB2312" w:eastAsia="仿宋_GB2312" w:hAnsi="宋体" w:cs="Courier New" w:hint="eastAsia"/>
          <w:sz w:val="32"/>
          <w:szCs w:val="32"/>
        </w:rPr>
        <w:t>机关因公出国（境）团组0个，累计0人次。开支内容包括：</w:t>
      </w:r>
    </w:p>
    <w:p w:rsidR="00AF66E7" w:rsidRDefault="00AF66E7" w:rsidP="00AF66E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会议</w:t>
      </w:r>
      <w:r>
        <w:rPr>
          <w:rFonts w:ascii="仿宋_GB2312" w:eastAsia="仿宋_GB2312" w:hAnsi="宋体" w:cs="Courier New" w:hint="eastAsia"/>
          <w:sz w:val="32"/>
          <w:szCs w:val="32"/>
        </w:rPr>
        <w:t>支出0万元。</w:t>
      </w:r>
    </w:p>
    <w:p w:rsidR="00AF66E7" w:rsidRDefault="00AF66E7" w:rsidP="00AF66E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支出0万元。</w:t>
      </w:r>
    </w:p>
    <w:p w:rsidR="00AF66E7" w:rsidRDefault="00AF66E7" w:rsidP="00AF66E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支出支出0万元。</w:t>
      </w:r>
    </w:p>
    <w:p w:rsidR="00C73300" w:rsidRDefault="00AF66E7" w:rsidP="00AF66E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2.</w:t>
      </w:r>
      <w:r w:rsidR="008B16B5">
        <w:rPr>
          <w:rFonts w:ascii="仿宋_GB2312" w:eastAsia="仿宋_GB2312" w:hAnsi="宋体" w:cs="Courier New" w:hint="eastAsia"/>
          <w:b/>
          <w:bCs/>
          <w:sz w:val="32"/>
          <w:szCs w:val="32"/>
        </w:rPr>
        <w:t>公务用车购置及运行费</w:t>
      </w:r>
      <w:r w:rsidR="008B16B5">
        <w:rPr>
          <w:rFonts w:ascii="仿宋_GB2312" w:eastAsia="仿宋_GB2312" w:hAnsi="宋体" w:cs="Courier New" w:hint="eastAsia"/>
          <w:sz w:val="32"/>
          <w:szCs w:val="32"/>
        </w:rPr>
        <w:t>支出2.2527万元。其中：</w:t>
      </w:r>
      <w:r w:rsidR="00905357">
        <w:rPr>
          <w:rFonts w:ascii="仿宋_GB2312" w:eastAsia="仿宋_GB2312" w:hAnsi="宋体" w:cs="Courier New" w:hint="eastAsia"/>
          <w:sz w:val="32"/>
          <w:szCs w:val="32"/>
        </w:rPr>
        <w:t>公务用车购置支出0万元，</w:t>
      </w:r>
      <w:r w:rsidR="008B16B5">
        <w:rPr>
          <w:rFonts w:ascii="仿宋_GB2312" w:eastAsia="仿宋_GB2312" w:hAnsi="宋体" w:cs="Courier New" w:hint="eastAsia"/>
          <w:b/>
          <w:bCs/>
          <w:sz w:val="32"/>
          <w:szCs w:val="32"/>
        </w:rPr>
        <w:t>公务用车运行</w:t>
      </w:r>
      <w:r w:rsidR="008B16B5">
        <w:rPr>
          <w:rFonts w:ascii="仿宋_GB2312" w:eastAsia="仿宋_GB2312" w:hAnsi="宋体" w:cs="Courier New" w:hint="eastAsia"/>
          <w:sz w:val="32"/>
          <w:szCs w:val="32"/>
        </w:rPr>
        <w:t>支出2.2527万元。</w:t>
      </w:r>
      <w:r>
        <w:rPr>
          <w:rFonts w:ascii="仿宋_GB2312" w:eastAsia="仿宋_GB2312" w:hAnsi="宋体" w:cs="Courier New" w:hint="eastAsia"/>
          <w:sz w:val="32"/>
          <w:szCs w:val="32"/>
        </w:rPr>
        <w:t>2017年期末，</w:t>
      </w:r>
      <w:r>
        <w:rPr>
          <w:rFonts w:ascii="仿宋" w:eastAsia="仿宋" w:hAnsi="仿宋" w:cs="仿宋" w:hint="eastAsia"/>
          <w:color w:val="000000"/>
          <w:sz w:val="31"/>
          <w:szCs w:val="31"/>
        </w:rPr>
        <w:t>浉河区委群工部属单位开支财政拨款的公务用车保有量为1辆</w:t>
      </w:r>
      <w:r>
        <w:rPr>
          <w:rFonts w:ascii="仿宋_GB2312" w:eastAsia="仿宋_GB2312" w:hAnsi="宋体" w:cs="Courier New" w:hint="eastAsia"/>
          <w:sz w:val="32"/>
          <w:szCs w:val="32"/>
        </w:rPr>
        <w:t>。</w:t>
      </w:r>
    </w:p>
    <w:p w:rsidR="00915371" w:rsidRDefault="00AF66E7" w:rsidP="00AF66E7">
      <w:pPr>
        <w:kinsoku w:val="0"/>
        <w:overflowPunct w:val="0"/>
        <w:autoSpaceDE w:val="0"/>
        <w:autoSpaceDN w:val="0"/>
        <w:adjustRightInd w:val="0"/>
        <w:snapToGrid w:val="0"/>
        <w:spacing w:line="360" w:lineRule="auto"/>
        <w:ind w:left="643"/>
        <w:rPr>
          <w:rFonts w:ascii="仿宋_GB2312" w:eastAsia="仿宋_GB2312" w:hAnsi="宋体" w:cs="Courier New"/>
          <w:sz w:val="32"/>
          <w:szCs w:val="32"/>
        </w:rPr>
      </w:pPr>
      <w:r>
        <w:rPr>
          <w:rFonts w:ascii="仿宋_GB2312" w:eastAsia="仿宋_GB2312" w:hAnsi="宋体" w:cs="Courier New" w:hint="eastAsia"/>
          <w:b/>
          <w:bCs/>
          <w:sz w:val="32"/>
          <w:szCs w:val="32"/>
        </w:rPr>
        <w:t>3.</w:t>
      </w:r>
      <w:r w:rsidR="008B16B5">
        <w:rPr>
          <w:rFonts w:ascii="仿宋_GB2312" w:eastAsia="仿宋_GB2312" w:hAnsi="宋体" w:cs="Courier New" w:hint="eastAsia"/>
          <w:b/>
          <w:bCs/>
          <w:sz w:val="32"/>
          <w:szCs w:val="32"/>
        </w:rPr>
        <w:t>公务接待费</w:t>
      </w:r>
      <w:r w:rsidR="008B16B5">
        <w:rPr>
          <w:rFonts w:ascii="仿宋_GB2312" w:eastAsia="仿宋_GB2312" w:hAnsi="宋体" w:cs="Courier New" w:hint="eastAsia"/>
          <w:sz w:val="32"/>
          <w:szCs w:val="32"/>
        </w:rPr>
        <w:t>支出9.6936万元。其中：</w:t>
      </w:r>
    </w:p>
    <w:p w:rsidR="00915371" w:rsidRDefault="00915371" w:rsidP="00AF66E7">
      <w:pPr>
        <w:kinsoku w:val="0"/>
        <w:overflowPunct w:val="0"/>
        <w:autoSpaceDE w:val="0"/>
        <w:autoSpaceDN w:val="0"/>
        <w:adjustRightInd w:val="0"/>
        <w:snapToGrid w:val="0"/>
        <w:spacing w:line="360" w:lineRule="auto"/>
        <w:ind w:left="643"/>
        <w:rPr>
          <w:rFonts w:ascii="仿宋_GB2312" w:eastAsia="仿宋_GB2312" w:hAnsi="宋体" w:cs="Courier New"/>
          <w:b/>
          <w:bCs/>
          <w:sz w:val="32"/>
          <w:szCs w:val="32"/>
        </w:rPr>
      </w:pPr>
      <w:r>
        <w:rPr>
          <w:rFonts w:ascii="仿宋_GB2312" w:eastAsia="仿宋_GB2312" w:hAnsi="宋体" w:cs="Courier New" w:hint="eastAsia"/>
          <w:b/>
          <w:bCs/>
          <w:sz w:val="32"/>
          <w:szCs w:val="32"/>
        </w:rPr>
        <w:t>外宾接待支出为0万元。</w:t>
      </w:r>
    </w:p>
    <w:p w:rsidR="00C73300" w:rsidRDefault="00915371" w:rsidP="00AF66E7">
      <w:pPr>
        <w:kinsoku w:val="0"/>
        <w:overflowPunct w:val="0"/>
        <w:autoSpaceDE w:val="0"/>
        <w:autoSpaceDN w:val="0"/>
        <w:adjustRightInd w:val="0"/>
        <w:snapToGrid w:val="0"/>
        <w:spacing w:line="360" w:lineRule="auto"/>
        <w:ind w:left="643"/>
        <w:rPr>
          <w:rFonts w:ascii="仿宋_GB2312" w:eastAsia="仿宋_GB2312" w:hAnsi="宋体" w:cs="Courier New"/>
          <w:sz w:val="32"/>
          <w:szCs w:val="32"/>
        </w:rPr>
      </w:pPr>
      <w:r>
        <w:rPr>
          <w:rFonts w:ascii="仿宋_GB2312" w:eastAsia="仿宋_GB2312" w:hAnsi="宋体" w:cs="Courier New" w:hint="eastAsia"/>
          <w:b/>
          <w:bCs/>
          <w:sz w:val="32"/>
          <w:szCs w:val="32"/>
        </w:rPr>
        <w:t>其他</w:t>
      </w:r>
      <w:r w:rsidR="008B16B5">
        <w:rPr>
          <w:rFonts w:ascii="仿宋_GB2312" w:eastAsia="仿宋_GB2312" w:hAnsi="宋体" w:cs="Courier New" w:hint="eastAsia"/>
          <w:b/>
          <w:bCs/>
          <w:sz w:val="32"/>
          <w:szCs w:val="32"/>
        </w:rPr>
        <w:t>国内公务接待</w:t>
      </w:r>
      <w:r w:rsidR="008B16B5">
        <w:rPr>
          <w:rFonts w:ascii="仿宋_GB2312" w:eastAsia="仿宋_GB2312" w:hAnsi="宋体" w:cs="Courier New" w:hint="eastAsia"/>
          <w:sz w:val="32"/>
          <w:szCs w:val="32"/>
        </w:rPr>
        <w:t>支出为9.6936</w:t>
      </w:r>
      <w:r>
        <w:rPr>
          <w:rFonts w:ascii="仿宋_GB2312" w:eastAsia="仿宋_GB2312" w:hAnsi="宋体" w:cs="Courier New" w:hint="eastAsia"/>
          <w:sz w:val="32"/>
          <w:szCs w:val="32"/>
        </w:rPr>
        <w:t>万元。</w:t>
      </w:r>
      <w:r w:rsidR="00B25730">
        <w:rPr>
          <w:rFonts w:ascii="仿宋_GB2312" w:eastAsia="仿宋_GB2312" w:hAnsi="宋体" w:cs="Courier New" w:hint="eastAsia"/>
          <w:sz w:val="32"/>
          <w:szCs w:val="32"/>
        </w:rPr>
        <w:t>共计125批次1096人次</w:t>
      </w:r>
      <w:r w:rsidR="008B16B5">
        <w:rPr>
          <w:rFonts w:ascii="仿宋_GB2312" w:eastAsia="仿宋_GB2312" w:hAnsi="宋体" w:cs="Courier New" w:hint="eastAsia"/>
          <w:sz w:val="32"/>
          <w:szCs w:val="32"/>
        </w:rPr>
        <w:t>。</w:t>
      </w: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C73300" w:rsidRDefault="008B16B5">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7A51FF" w:rsidRDefault="008B16B5" w:rsidP="007A51FF">
      <w:pPr>
        <w:spacing w:line="360" w:lineRule="auto"/>
        <w:ind w:firstLineChars="200" w:firstLine="620"/>
        <w:rPr>
          <w:rFonts w:ascii="仿宋" w:eastAsia="仿宋" w:hAnsi="仿宋" w:cs="仿宋"/>
          <w:sz w:val="32"/>
          <w:szCs w:val="32"/>
        </w:rPr>
      </w:pPr>
      <w:r>
        <w:rPr>
          <w:rFonts w:ascii="仿宋" w:eastAsia="仿宋" w:hAnsi="仿宋" w:cs="仿宋" w:hint="eastAsia"/>
          <w:color w:val="000000"/>
          <w:sz w:val="31"/>
          <w:szCs w:val="31"/>
        </w:rPr>
        <w:t>根据财政预算管理要求，</w:t>
      </w:r>
      <w:r w:rsidR="007A51FF">
        <w:rPr>
          <w:rFonts w:ascii="仿宋" w:eastAsia="仿宋" w:hAnsi="仿宋" w:cs="仿宋" w:hint="eastAsia"/>
          <w:color w:val="000000"/>
          <w:sz w:val="31"/>
          <w:szCs w:val="31"/>
        </w:rPr>
        <w:t>为做好预算绩效管理工作，</w:t>
      </w:r>
      <w:r>
        <w:rPr>
          <w:rFonts w:ascii="仿宋" w:eastAsia="仿宋" w:hAnsi="仿宋" w:cs="仿宋" w:hint="eastAsia"/>
          <w:color w:val="000000"/>
          <w:sz w:val="31"/>
          <w:szCs w:val="31"/>
        </w:rPr>
        <w:t>浉河</w:t>
      </w:r>
      <w:r>
        <w:rPr>
          <w:rFonts w:ascii="仿宋" w:eastAsia="仿宋" w:hAnsi="仿宋" w:cs="仿宋" w:hint="eastAsia"/>
          <w:color w:val="000000"/>
          <w:sz w:val="31"/>
          <w:szCs w:val="31"/>
        </w:rPr>
        <w:lastRenderedPageBreak/>
        <w:t>区委群工部对2017年度一般公共预算项目支出全面开展绩效自评。</w:t>
      </w:r>
      <w:r w:rsidR="007A51FF">
        <w:rPr>
          <w:rFonts w:ascii="仿宋" w:eastAsia="仿宋" w:hAnsi="仿宋" w:cs="仿宋" w:hint="eastAsia"/>
          <w:sz w:val="32"/>
          <w:szCs w:val="32"/>
        </w:rPr>
        <w:t>其中，一级项目0个，二级项目0个，共涉及预算资金0万元，自评覆盖率达到0%。</w:t>
      </w:r>
    </w:p>
    <w:p w:rsidR="00F50346" w:rsidRDefault="00F50346" w:rsidP="00F50346">
      <w:pPr>
        <w:kinsoku w:val="0"/>
        <w:overflowPunct w:val="0"/>
        <w:autoSpaceDE w:val="0"/>
        <w:autoSpaceDN w:val="0"/>
        <w:adjustRightInd w:val="0"/>
        <w:snapToGrid w:val="0"/>
        <w:spacing w:line="360" w:lineRule="auto"/>
        <w:ind w:leftChars="200" w:left="420" w:firstLineChars="200" w:firstLine="620"/>
        <w:rPr>
          <w:rFonts w:ascii="仿宋" w:eastAsia="仿宋" w:hAnsi="仿宋" w:cs="仿宋"/>
          <w:color w:val="000000"/>
          <w:sz w:val="31"/>
          <w:szCs w:val="31"/>
        </w:rPr>
      </w:pPr>
    </w:p>
    <w:p w:rsidR="00C73300" w:rsidRDefault="00F50346" w:rsidP="00F50346">
      <w:pPr>
        <w:kinsoku w:val="0"/>
        <w:overflowPunct w:val="0"/>
        <w:autoSpaceDE w:val="0"/>
        <w:autoSpaceDN w:val="0"/>
        <w:adjustRightInd w:val="0"/>
        <w:snapToGrid w:val="0"/>
        <w:spacing w:line="360" w:lineRule="auto"/>
        <w:ind w:leftChars="200" w:left="420" w:firstLineChars="200" w:firstLine="620"/>
        <w:rPr>
          <w:rFonts w:ascii="楷体_GB2312" w:eastAsia="楷体_GB2312" w:hAnsi="楷体_GB2312" w:cs="楷体_GB2312"/>
          <w:sz w:val="32"/>
          <w:szCs w:val="32"/>
        </w:rPr>
      </w:pPr>
      <w:r>
        <w:rPr>
          <w:rFonts w:ascii="仿宋" w:eastAsia="仿宋" w:hAnsi="仿宋" w:cs="仿宋" w:hint="eastAsia"/>
          <w:color w:val="000000"/>
          <w:sz w:val="31"/>
          <w:szCs w:val="31"/>
        </w:rPr>
        <w:t>（二）</w:t>
      </w:r>
      <w:r w:rsidR="008B16B5">
        <w:rPr>
          <w:rFonts w:ascii="楷体_GB2312" w:eastAsia="楷体_GB2312" w:hAnsi="楷体_GB2312" w:cs="楷体_GB2312" w:hint="eastAsia"/>
          <w:sz w:val="32"/>
          <w:szCs w:val="32"/>
        </w:rPr>
        <w:t>部门决算中项目绩效自评结果。</w:t>
      </w:r>
    </w:p>
    <w:p w:rsidR="00C73300" w:rsidRDefault="008B16B5" w:rsidP="00B25730">
      <w:pPr>
        <w:kinsoku w:val="0"/>
        <w:overflowPunct w:val="0"/>
        <w:autoSpaceDE w:val="0"/>
        <w:autoSpaceDN w:val="0"/>
        <w:adjustRightInd w:val="0"/>
        <w:snapToGrid w:val="0"/>
        <w:spacing w:line="360" w:lineRule="auto"/>
        <w:ind w:leftChars="200" w:left="420" w:firstLineChars="200" w:firstLine="620"/>
      </w:pPr>
      <w:r>
        <w:rPr>
          <w:rFonts w:ascii="仿宋" w:eastAsia="仿宋" w:hAnsi="仿宋" w:cs="仿宋" w:hint="eastAsia"/>
          <w:color w:val="000000"/>
          <w:sz w:val="31"/>
          <w:szCs w:val="31"/>
        </w:rPr>
        <w:t>浉河区委群工部</w:t>
      </w:r>
      <w:r w:rsidR="00AE092E">
        <w:rPr>
          <w:rFonts w:ascii="仿宋" w:eastAsia="仿宋" w:hAnsi="仿宋" w:cs="仿宋" w:hint="eastAsia"/>
          <w:color w:val="000000"/>
          <w:sz w:val="31"/>
          <w:szCs w:val="31"/>
        </w:rPr>
        <w:t>2017年度没有项目</w:t>
      </w:r>
      <w:r>
        <w:rPr>
          <w:rFonts w:ascii="仿宋" w:eastAsia="仿宋" w:hAnsi="仿宋" w:cs="仿宋" w:hint="eastAsia"/>
          <w:color w:val="000000"/>
          <w:sz w:val="31"/>
          <w:szCs w:val="31"/>
        </w:rPr>
        <w:t>。</w:t>
      </w: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C73300" w:rsidRDefault="008B16B5" w:rsidP="00B25730">
      <w:pPr>
        <w:kinsoku w:val="0"/>
        <w:overflowPunct w:val="0"/>
        <w:autoSpaceDE w:val="0"/>
        <w:autoSpaceDN w:val="0"/>
        <w:adjustRightInd w:val="0"/>
        <w:snapToGrid w:val="0"/>
        <w:spacing w:line="360" w:lineRule="auto"/>
        <w:ind w:leftChars="200" w:left="420"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浉河区群工部2017年没有政府性基金收入，也没有使用政府性基金安排的支出。</w:t>
      </w:r>
    </w:p>
    <w:p w:rsidR="00C73300" w:rsidRDefault="008B16B5">
      <w:pPr>
        <w:numPr>
          <w:ilvl w:val="0"/>
          <w:numId w:val="5"/>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C73300" w:rsidRDefault="008B16B5">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机关运行经费支出情况。</w:t>
      </w:r>
    </w:p>
    <w:p w:rsidR="00C73300" w:rsidRDefault="008B16B5">
      <w:pPr>
        <w:kinsoku w:val="0"/>
        <w:overflowPunct w:val="0"/>
        <w:autoSpaceDE w:val="0"/>
        <w:autoSpaceDN w:val="0"/>
        <w:adjustRightInd w:val="0"/>
        <w:snapToGrid w:val="0"/>
        <w:spacing w:line="360" w:lineRule="auto"/>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2017年度机关运行经费支出433.0838万元，比2016年增加108.8475万元，增长33%。主要为保障机关正常运行的日常公用经费支出。主要原因是：</w:t>
      </w:r>
      <w:r>
        <w:rPr>
          <w:rFonts w:ascii="仿宋" w:eastAsia="仿宋" w:hAnsi="仿宋" w:cs="仿宋"/>
          <w:color w:val="000000"/>
          <w:sz w:val="31"/>
          <w:szCs w:val="31"/>
        </w:rPr>
        <w:t>1.</w:t>
      </w:r>
      <w:r>
        <w:rPr>
          <w:rFonts w:ascii="仿宋_GB2312" w:eastAsia="仿宋_GB2312" w:hAnsi="宋体" w:cs="Courier New" w:hint="eastAsia"/>
          <w:sz w:val="32"/>
          <w:szCs w:val="32"/>
        </w:rPr>
        <w:t>信访事务公务出差增加，</w:t>
      </w:r>
      <w:r>
        <w:rPr>
          <w:rFonts w:ascii="仿宋" w:eastAsia="仿宋" w:hAnsi="仿宋" w:cs="仿宋" w:hint="eastAsia"/>
          <w:color w:val="000000"/>
          <w:sz w:val="31"/>
          <w:szCs w:val="31"/>
        </w:rPr>
        <w:t>进京赴</w:t>
      </w:r>
      <w:r>
        <w:rPr>
          <w:rFonts w:ascii="仿宋_GB2312" w:eastAsia="仿宋_GB2312" w:hAnsi="宋体" w:cs="仿宋_GB2312" w:hint="eastAsia"/>
          <w:color w:val="000000"/>
          <w:sz w:val="32"/>
          <w:szCs w:val="32"/>
        </w:rPr>
        <w:t>省上访人员增多，接领劝返工作难度加大，相应的增加了支出；</w:t>
      </w:r>
      <w:r>
        <w:rPr>
          <w:rFonts w:ascii="Times New Roman" w:eastAsia="宋体" w:hAnsi="Times New Roman" w:cs="Times New Roman"/>
          <w:color w:val="000000"/>
          <w:sz w:val="32"/>
          <w:szCs w:val="32"/>
        </w:rPr>
        <w:t>2.</w:t>
      </w:r>
      <w:r>
        <w:rPr>
          <w:rFonts w:ascii="仿宋_GB2312" w:eastAsia="仿宋_GB2312" w:hAnsi="宋体" w:cs="仿宋_GB2312" w:hint="eastAsia"/>
          <w:color w:val="000000"/>
          <w:sz w:val="32"/>
          <w:szCs w:val="32"/>
        </w:rPr>
        <w:t>加强了外出培训，增加信访系统人员新时期信访形势的工作能力。</w:t>
      </w:r>
    </w:p>
    <w:p w:rsidR="00C73300" w:rsidRDefault="008B16B5">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bookmarkStart w:id="0" w:name="_GoBack"/>
      <w:r>
        <w:rPr>
          <w:rFonts w:ascii="楷体_GB2312" w:eastAsia="楷体_GB2312" w:hAnsi="Times New Roman" w:cs="仿宋_GB2312" w:hint="eastAsia"/>
          <w:bCs/>
          <w:kern w:val="0"/>
          <w:sz w:val="32"/>
          <w:szCs w:val="32"/>
        </w:rPr>
        <w:t>政府采购支出情况。</w:t>
      </w:r>
    </w:p>
    <w:bookmarkEnd w:id="0"/>
    <w:p w:rsidR="00C73300" w:rsidRDefault="008B16B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2017年度政府采购支出总额0万元，其中：政府采购货物支出0万元，政府采购工程支出0万元，政府采购服务支出0万元。授予中小企业合同金额0万元。</w:t>
      </w:r>
    </w:p>
    <w:p w:rsidR="00C73300" w:rsidRDefault="008B16B5">
      <w:pPr>
        <w:numPr>
          <w:ilvl w:val="0"/>
          <w:numId w:val="10"/>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C73300" w:rsidRDefault="008B16B5">
      <w:pPr>
        <w:ind w:firstLineChars="200" w:firstLine="640"/>
        <w:jc w:val="left"/>
        <w:rPr>
          <w:rFonts w:ascii="黑体" w:eastAsia="仿宋_GB2312" w:hAnsi="黑体" w:cs="黑体"/>
          <w:sz w:val="32"/>
          <w:szCs w:val="32"/>
        </w:rPr>
      </w:pPr>
      <w:r>
        <w:rPr>
          <w:rFonts w:ascii="仿宋_GB2312" w:eastAsia="仿宋_GB2312" w:hAnsi="宋体" w:cs="Courier New" w:hint="eastAsia"/>
          <w:sz w:val="32"/>
          <w:szCs w:val="32"/>
        </w:rPr>
        <w:lastRenderedPageBreak/>
        <w:t>2017年期末，浉河区委群工部共有车辆1辆，为一般公用车辆，主要是用于办理公务、信访维稳、处置信访突发应急事件等公务活动；单价50万元以上通用设备2台，为单位中央空调，单位价值100万元以上专用设备1套，为接访视频设备。</w:t>
      </w: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C73300">
      <w:pPr>
        <w:jc w:val="left"/>
        <w:rPr>
          <w:rFonts w:ascii="黑体" w:eastAsia="黑体" w:hAnsi="黑体" w:cs="黑体"/>
          <w:sz w:val="32"/>
          <w:szCs w:val="32"/>
        </w:rPr>
      </w:pPr>
    </w:p>
    <w:p w:rsidR="00C73300" w:rsidRDefault="008B16B5">
      <w:pPr>
        <w:jc w:val="center"/>
        <w:outlineLvl w:val="0"/>
        <w:rPr>
          <w:rFonts w:ascii="隶书" w:eastAsia="隶书" w:hAnsi="隶书" w:cs="隶书"/>
          <w:sz w:val="48"/>
          <w:szCs w:val="48"/>
        </w:rPr>
        <w:sectPr w:rsidR="00C73300">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第三部分　　名词解释</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财政拨款收入：</w:t>
      </w:r>
      <w:r>
        <w:rPr>
          <w:rFonts w:ascii="仿宋_GB2312" w:eastAsia="仿宋_GB2312" w:hAnsi="宋体" w:cs="Courier New" w:hint="eastAsia"/>
          <w:sz w:val="32"/>
          <w:szCs w:val="32"/>
        </w:rPr>
        <w:t>是指省级财政当年拨付的资金。</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事业收入：</w:t>
      </w:r>
      <w:r>
        <w:rPr>
          <w:rFonts w:ascii="仿宋_GB2312" w:eastAsia="仿宋_GB2312" w:hAnsi="宋体" w:cs="Courier New" w:hint="eastAsia"/>
          <w:sz w:val="32"/>
          <w:szCs w:val="32"/>
        </w:rPr>
        <w:t>是指事业单位开展专业业务活动及辅助活动所取得的收入。</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经营收入：</w:t>
      </w:r>
      <w:r>
        <w:rPr>
          <w:rFonts w:ascii="仿宋_GB2312" w:eastAsia="仿宋_GB2312" w:hAnsi="宋体" w:cs="Courier New" w:hint="eastAsia"/>
          <w:sz w:val="32"/>
          <w:szCs w:val="32"/>
        </w:rPr>
        <w:t>指事业单位在专业业务活动及其辅助活动之外开展非独立核算经营活动取得的收入。</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其他收入：</w:t>
      </w:r>
      <w:r>
        <w:rPr>
          <w:rFonts w:ascii="仿宋_GB2312" w:eastAsia="仿宋_GB2312" w:hAnsi="宋体" w:cs="Courier New" w:hint="eastAsia"/>
          <w:sz w:val="32"/>
          <w:szCs w:val="32"/>
        </w:rPr>
        <w:t>指除上述“财政拨款收入”、“事业收入”、“事业单位经营收入”、“经营收入”等以外的收入。主要是按规定动用的售房收入、存款利息收入等。</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用事业基金弥补收支差额：</w:t>
      </w:r>
      <w:r>
        <w:rPr>
          <w:rFonts w:ascii="仿宋_GB2312" w:eastAsia="仿宋_GB2312" w:hAnsi="宋体" w:cs="Courier New"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Ansi="宋体" w:cs="Courier New" w:hint="eastAsia"/>
          <w:b/>
          <w:bCs/>
          <w:sz w:val="32"/>
          <w:szCs w:val="32"/>
        </w:rPr>
        <w:t>。</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年初结转和结余：</w:t>
      </w:r>
      <w:r>
        <w:rPr>
          <w:rFonts w:ascii="仿宋_GB2312" w:eastAsia="仿宋_GB2312" w:hAnsi="宋体" w:cs="Courier New" w:hint="eastAsia"/>
          <w:sz w:val="32"/>
          <w:szCs w:val="32"/>
        </w:rPr>
        <w:t>指以前年度尚未完成、结转到本年按有关规定继续使用的资金。</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指浉河区委群工部行政单位及参照公务员法管理的事业单位开展财政立法、决算编审、资产产权管理等未单独设置项级科目的专门性财政管理工作的项目支出。</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结余分配：</w:t>
      </w:r>
      <w:r>
        <w:rPr>
          <w:rFonts w:ascii="仿宋_GB2312" w:eastAsia="仿宋_GB2312" w:hAnsi="宋体" w:cs="Courier New" w:hint="eastAsia"/>
          <w:sz w:val="32"/>
          <w:szCs w:val="32"/>
        </w:rPr>
        <w:t>指事业单位按规定提取的职工福利基金、事业基金和缴纳的所得税，以及建设单位按规定应交回的基本建设竣工项目结余资金。</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lastRenderedPageBreak/>
        <w:t>项目支出：</w:t>
      </w:r>
      <w:r>
        <w:rPr>
          <w:rFonts w:ascii="仿宋_GB2312" w:eastAsia="仿宋_GB2312" w:hAnsi="宋体" w:cs="Courier New" w:hint="eastAsia"/>
          <w:sz w:val="32"/>
          <w:szCs w:val="32"/>
        </w:rPr>
        <w:t>指在基本支出之外为完成特定行政任务和事业发展目标所发生的支出。</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基本支出：</w:t>
      </w:r>
      <w:r>
        <w:rPr>
          <w:rFonts w:ascii="仿宋_GB2312" w:eastAsia="仿宋_GB2312" w:hAnsi="宋体" w:cs="Courier New" w:hint="eastAsia"/>
          <w:sz w:val="32"/>
          <w:szCs w:val="32"/>
        </w:rPr>
        <w:t>指为保障机构正常运转、完成日常工作任务而发生的人员支出和公用支出。</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经营支出：</w:t>
      </w:r>
      <w:r>
        <w:rPr>
          <w:rFonts w:ascii="仿宋_GB2312" w:eastAsia="仿宋_GB2312" w:hAnsi="宋体" w:cs="Courier New" w:hint="eastAsia"/>
          <w:sz w:val="32"/>
          <w:szCs w:val="32"/>
        </w:rPr>
        <w:t>指事业单位在专业业务活动及其辅助活动之外开展非独立核算经营活动发生的支出。</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“三公”经费：</w:t>
      </w:r>
      <w:r>
        <w:rPr>
          <w:rFonts w:ascii="仿宋_GB2312" w:eastAsia="仿宋_GB2312" w:hAnsi="宋体" w:cs="Courier New" w:hint="eastAsia"/>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73300" w:rsidRDefault="008B16B5">
      <w:pPr>
        <w:numPr>
          <w:ilvl w:val="0"/>
          <w:numId w:val="11"/>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机关运行经费：</w:t>
      </w:r>
      <w:r>
        <w:rPr>
          <w:rFonts w:ascii="仿宋_GB2312" w:eastAsia="仿宋_GB2312" w:hAnsi="宋体" w:cs="Courier New"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w:t>
      </w:r>
      <w:r>
        <w:rPr>
          <w:rFonts w:ascii="仿宋_GB2312" w:eastAsia="仿宋_GB2312" w:hAnsi="宋体" w:cs="Courier New" w:hint="eastAsia"/>
          <w:sz w:val="32"/>
          <w:szCs w:val="32"/>
        </w:rPr>
        <w:lastRenderedPageBreak/>
        <w:t>办公用房取暖费、办公用房物业管理费、公务用车运行维护费以及其他费用。</w:t>
      </w:r>
    </w:p>
    <w:p w:rsidR="00C73300" w:rsidRDefault="00C73300">
      <w:pPr>
        <w:adjustRightInd w:val="0"/>
        <w:snapToGrid w:val="0"/>
        <w:spacing w:line="590" w:lineRule="exact"/>
        <w:jc w:val="left"/>
        <w:rPr>
          <w:rFonts w:ascii="仿宋_GB2312" w:eastAsia="仿宋_GB2312" w:hAnsi="Times New Roman"/>
          <w:sz w:val="32"/>
          <w:szCs w:val="32"/>
        </w:rPr>
      </w:pPr>
    </w:p>
    <w:p w:rsidR="00C73300" w:rsidRDefault="00C73300">
      <w:pPr>
        <w:rPr>
          <w:rFonts w:ascii="隶书" w:eastAsia="隶书" w:hAnsi="隶书" w:cs="隶书"/>
          <w:sz w:val="48"/>
          <w:szCs w:val="48"/>
        </w:rPr>
      </w:pPr>
    </w:p>
    <w:sectPr w:rsidR="00C73300" w:rsidSect="00C7330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2E" w:rsidRDefault="00AE092E" w:rsidP="00C73300">
      <w:r>
        <w:separator/>
      </w:r>
    </w:p>
  </w:endnote>
  <w:endnote w:type="continuationSeparator" w:id="0">
    <w:p w:rsidR="00AE092E" w:rsidRDefault="00AE092E" w:rsidP="00C73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E" w:rsidRDefault="00AE09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E" w:rsidRDefault="007616B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AE092E" w:rsidRDefault="007616BD">
                <w:pPr>
                  <w:snapToGrid w:val="0"/>
                  <w:rPr>
                    <w:sz w:val="18"/>
                  </w:rPr>
                </w:pPr>
                <w:r>
                  <w:rPr>
                    <w:rFonts w:hint="eastAsia"/>
                    <w:sz w:val="18"/>
                  </w:rPr>
                  <w:fldChar w:fldCharType="begin"/>
                </w:r>
                <w:r w:rsidR="00AE092E">
                  <w:rPr>
                    <w:rFonts w:hint="eastAsia"/>
                    <w:sz w:val="18"/>
                  </w:rPr>
                  <w:instrText xml:space="preserve"> PAGE  \* MERGEFORMAT </w:instrText>
                </w:r>
                <w:r>
                  <w:rPr>
                    <w:rFonts w:hint="eastAsia"/>
                    <w:sz w:val="18"/>
                  </w:rPr>
                  <w:fldChar w:fldCharType="separate"/>
                </w:r>
                <w:r w:rsidR="007A51FF">
                  <w:rPr>
                    <w:noProof/>
                    <w:sz w:val="18"/>
                  </w:rPr>
                  <w:t>- 9 -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2E" w:rsidRDefault="00AE092E" w:rsidP="00C73300">
      <w:r>
        <w:separator/>
      </w:r>
    </w:p>
  </w:footnote>
  <w:footnote w:type="continuationSeparator" w:id="0">
    <w:p w:rsidR="00AE092E" w:rsidRDefault="00AE092E" w:rsidP="00C73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start w:val="2"/>
      <w:numFmt w:val="chineseCounting"/>
      <w:suff w:val="nothing"/>
      <w:lvlText w:val="%1、"/>
      <w:lvlJc w:val="left"/>
    </w:lvl>
  </w:abstractNum>
  <w:abstractNum w:abstractNumId="3">
    <w:nsid w:val="5971C2CF"/>
    <w:multiLevelType w:val="singleLevel"/>
    <w:tmpl w:val="5971C2CF"/>
    <w:lvl w:ilvl="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72A27"/>
    <w:rsid w:val="002D1F23"/>
    <w:rsid w:val="00630D31"/>
    <w:rsid w:val="007616BD"/>
    <w:rsid w:val="00761D5D"/>
    <w:rsid w:val="00783862"/>
    <w:rsid w:val="007A51FF"/>
    <w:rsid w:val="008B16B5"/>
    <w:rsid w:val="00905357"/>
    <w:rsid w:val="00915371"/>
    <w:rsid w:val="00AE092E"/>
    <w:rsid w:val="00AF66E7"/>
    <w:rsid w:val="00B25730"/>
    <w:rsid w:val="00B54309"/>
    <w:rsid w:val="00B84FB0"/>
    <w:rsid w:val="00C73300"/>
    <w:rsid w:val="00E12A38"/>
    <w:rsid w:val="00EE0BEE"/>
    <w:rsid w:val="00F50346"/>
    <w:rsid w:val="00F93487"/>
    <w:rsid w:val="01064770"/>
    <w:rsid w:val="04453648"/>
    <w:rsid w:val="06220F2C"/>
    <w:rsid w:val="07F7701E"/>
    <w:rsid w:val="09BB2134"/>
    <w:rsid w:val="09D35BA1"/>
    <w:rsid w:val="0BAB646B"/>
    <w:rsid w:val="0C301C4D"/>
    <w:rsid w:val="0D5F154F"/>
    <w:rsid w:val="0E577E91"/>
    <w:rsid w:val="0E5E3263"/>
    <w:rsid w:val="0E812CF8"/>
    <w:rsid w:val="11235B6D"/>
    <w:rsid w:val="129561B5"/>
    <w:rsid w:val="13DA4090"/>
    <w:rsid w:val="14A97DCF"/>
    <w:rsid w:val="15492582"/>
    <w:rsid w:val="173617C5"/>
    <w:rsid w:val="1BB26345"/>
    <w:rsid w:val="1D17665B"/>
    <w:rsid w:val="1D4B61A3"/>
    <w:rsid w:val="1E7D3B34"/>
    <w:rsid w:val="1E9B0E09"/>
    <w:rsid w:val="20047759"/>
    <w:rsid w:val="20690161"/>
    <w:rsid w:val="209C4FF0"/>
    <w:rsid w:val="21765FFB"/>
    <w:rsid w:val="21D5042A"/>
    <w:rsid w:val="240D29D1"/>
    <w:rsid w:val="258F34D6"/>
    <w:rsid w:val="274A6028"/>
    <w:rsid w:val="27F92C06"/>
    <w:rsid w:val="285C4D66"/>
    <w:rsid w:val="2BA4769A"/>
    <w:rsid w:val="2BC662A1"/>
    <w:rsid w:val="2BD74F41"/>
    <w:rsid w:val="2C3A58A7"/>
    <w:rsid w:val="2C8B3C0F"/>
    <w:rsid w:val="2CD06EF4"/>
    <w:rsid w:val="302950BE"/>
    <w:rsid w:val="310C759C"/>
    <w:rsid w:val="31917C8B"/>
    <w:rsid w:val="32EF40CE"/>
    <w:rsid w:val="372974AC"/>
    <w:rsid w:val="390937E6"/>
    <w:rsid w:val="3CE47224"/>
    <w:rsid w:val="3DA863D4"/>
    <w:rsid w:val="3E205B3C"/>
    <w:rsid w:val="408560A1"/>
    <w:rsid w:val="42271DDB"/>
    <w:rsid w:val="42944407"/>
    <w:rsid w:val="43B44C87"/>
    <w:rsid w:val="44456DCA"/>
    <w:rsid w:val="45CD4FBD"/>
    <w:rsid w:val="47001BB1"/>
    <w:rsid w:val="48036E61"/>
    <w:rsid w:val="48892B2A"/>
    <w:rsid w:val="48B52937"/>
    <w:rsid w:val="48EE3EF3"/>
    <w:rsid w:val="4C1E2F28"/>
    <w:rsid w:val="4D3F5050"/>
    <w:rsid w:val="4E1A5B06"/>
    <w:rsid w:val="4F8A63BB"/>
    <w:rsid w:val="51177E8E"/>
    <w:rsid w:val="51AD42DE"/>
    <w:rsid w:val="524D78C7"/>
    <w:rsid w:val="53E9756D"/>
    <w:rsid w:val="544F0954"/>
    <w:rsid w:val="5651051D"/>
    <w:rsid w:val="57BB5F84"/>
    <w:rsid w:val="57D61BA4"/>
    <w:rsid w:val="57E961A8"/>
    <w:rsid w:val="581E77CF"/>
    <w:rsid w:val="58B06254"/>
    <w:rsid w:val="59885A32"/>
    <w:rsid w:val="59E3092F"/>
    <w:rsid w:val="5AAB737E"/>
    <w:rsid w:val="5AC83E42"/>
    <w:rsid w:val="5AF25131"/>
    <w:rsid w:val="5CDA37CB"/>
    <w:rsid w:val="5E042DB9"/>
    <w:rsid w:val="5F3A0145"/>
    <w:rsid w:val="600176AC"/>
    <w:rsid w:val="60F24664"/>
    <w:rsid w:val="627358F6"/>
    <w:rsid w:val="62C45AC2"/>
    <w:rsid w:val="6431638A"/>
    <w:rsid w:val="647826AE"/>
    <w:rsid w:val="664A46E0"/>
    <w:rsid w:val="674E08EC"/>
    <w:rsid w:val="67B55EF1"/>
    <w:rsid w:val="6A2415C4"/>
    <w:rsid w:val="6B9031A0"/>
    <w:rsid w:val="6C2F3976"/>
    <w:rsid w:val="6DFF7757"/>
    <w:rsid w:val="71084AE7"/>
    <w:rsid w:val="72F9060B"/>
    <w:rsid w:val="737A5BE5"/>
    <w:rsid w:val="73F1196C"/>
    <w:rsid w:val="745D66EC"/>
    <w:rsid w:val="74F20428"/>
    <w:rsid w:val="75531EF6"/>
    <w:rsid w:val="75715D46"/>
    <w:rsid w:val="75D0003D"/>
    <w:rsid w:val="779E3F57"/>
    <w:rsid w:val="79960645"/>
    <w:rsid w:val="7AB35F7D"/>
    <w:rsid w:val="7B0F6291"/>
    <w:rsid w:val="7BC7753D"/>
    <w:rsid w:val="7D0D382E"/>
    <w:rsid w:val="7D1B4E63"/>
    <w:rsid w:val="7E8967D8"/>
    <w:rsid w:val="7F392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3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73300"/>
    <w:pPr>
      <w:tabs>
        <w:tab w:val="center" w:pos="4153"/>
        <w:tab w:val="right" w:pos="8306"/>
      </w:tabs>
      <w:snapToGrid w:val="0"/>
      <w:jc w:val="left"/>
    </w:pPr>
    <w:rPr>
      <w:sz w:val="18"/>
    </w:rPr>
  </w:style>
  <w:style w:type="paragraph" w:styleId="a4">
    <w:name w:val="header"/>
    <w:basedOn w:val="a"/>
    <w:qFormat/>
    <w:rsid w:val="00C733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73300"/>
    <w:pPr>
      <w:spacing w:beforeAutospacing="1" w:afterAutospacing="1"/>
      <w:jc w:val="left"/>
    </w:pPr>
    <w:rPr>
      <w:rFonts w:cs="Times New Roman"/>
      <w:kern w:val="0"/>
      <w:sz w:val="24"/>
    </w:rPr>
  </w:style>
  <w:style w:type="character" w:styleId="a6">
    <w:name w:val="Strong"/>
    <w:basedOn w:val="a0"/>
    <w:qFormat/>
    <w:rsid w:val="00C73300"/>
    <w:rPr>
      <w:b/>
    </w:rPr>
  </w:style>
  <w:style w:type="character" w:styleId="a7">
    <w:name w:val="FollowedHyperlink"/>
    <w:basedOn w:val="a0"/>
    <w:rsid w:val="00C73300"/>
    <w:rPr>
      <w:color w:val="333333"/>
      <w:u w:val="none"/>
    </w:rPr>
  </w:style>
  <w:style w:type="character" w:styleId="a8">
    <w:name w:val="Emphasis"/>
    <w:basedOn w:val="a0"/>
    <w:qFormat/>
    <w:rsid w:val="00C73300"/>
  </w:style>
  <w:style w:type="character" w:styleId="a9">
    <w:name w:val="Hyperlink"/>
    <w:basedOn w:val="a0"/>
    <w:rsid w:val="00C73300"/>
    <w:rPr>
      <w:color w:val="333333"/>
      <w:u w:val="none"/>
    </w:rPr>
  </w:style>
  <w:style w:type="character" w:customStyle="1" w:styleId="font31">
    <w:name w:val="font31"/>
    <w:basedOn w:val="a0"/>
    <w:qFormat/>
    <w:rsid w:val="00C73300"/>
    <w:rPr>
      <w:rFonts w:ascii="Arial" w:hAnsi="Arial" w:cs="Arial"/>
      <w:color w:val="000000"/>
      <w:sz w:val="16"/>
      <w:szCs w:val="16"/>
      <w:u w:val="none"/>
    </w:rPr>
  </w:style>
  <w:style w:type="character" w:customStyle="1" w:styleId="font01">
    <w:name w:val="font01"/>
    <w:basedOn w:val="a0"/>
    <w:qFormat/>
    <w:rsid w:val="00C73300"/>
    <w:rPr>
      <w:rFonts w:ascii="Arial" w:hAnsi="Arial" w:cs="Arial" w:hint="default"/>
      <w:color w:val="000000"/>
      <w:sz w:val="16"/>
      <w:szCs w:val="16"/>
      <w:u w:val="none"/>
    </w:rPr>
  </w:style>
  <w:style w:type="character" w:customStyle="1" w:styleId="font41">
    <w:name w:val="font41"/>
    <w:basedOn w:val="a0"/>
    <w:qFormat/>
    <w:rsid w:val="00C73300"/>
    <w:rPr>
      <w:rFonts w:ascii="宋体" w:eastAsia="宋体" w:hAnsi="宋体" w:cs="宋体" w:hint="eastAsia"/>
      <w:color w:val="000000"/>
      <w:sz w:val="16"/>
      <w:szCs w:val="16"/>
      <w:u w:val="none"/>
    </w:rPr>
  </w:style>
  <w:style w:type="character" w:customStyle="1" w:styleId="bsharetext">
    <w:name w:val="bsharetext"/>
    <w:basedOn w:val="a0"/>
    <w:qFormat/>
    <w:rsid w:val="00C73300"/>
  </w:style>
</w:styles>
</file>

<file path=word/webSettings.xml><?xml version="1.0" encoding="utf-8"?>
<w:webSettings xmlns:r="http://schemas.openxmlformats.org/officeDocument/2006/relationships" xmlns:w="http://schemas.openxmlformats.org/wordprocessingml/2006/main">
  <w:divs>
    <w:div w:id="1288313122">
      <w:bodyDiv w:val="1"/>
      <w:marLeft w:val="0"/>
      <w:marRight w:val="0"/>
      <w:marTop w:val="0"/>
      <w:marBottom w:val="0"/>
      <w:divBdr>
        <w:top w:val="none" w:sz="0" w:space="0" w:color="auto"/>
        <w:left w:val="none" w:sz="0" w:space="0" w:color="auto"/>
        <w:bottom w:val="none" w:sz="0" w:space="0" w:color="auto"/>
        <w:right w:val="none" w:sz="0" w:space="0" w:color="auto"/>
      </w:divBdr>
    </w:div>
    <w:div w:id="138864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3905</Words>
  <Characters>381</Characters>
  <Application>Microsoft Office Word</Application>
  <DocSecurity>0</DocSecurity>
  <Lines>3</Lines>
  <Paragraphs>8</Paragraphs>
  <ScaleCrop>false</ScaleCrop>
  <Company>微软中国</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8</cp:revision>
  <cp:lastPrinted>2017-07-25T02:47:00Z</cp:lastPrinted>
  <dcterms:created xsi:type="dcterms:W3CDTF">2014-10-29T12:08:00Z</dcterms:created>
  <dcterms:modified xsi:type="dcterms:W3CDTF">2019-01-21T07:49:00Z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