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Pr>
        <w:jc w:val="center"/>
        <w:rPr>
          <w:rFonts w:asciiTheme="minorEastAsia" w:hAnsiTheme="minorEastAsia"/>
          <w:sz w:val="44"/>
          <w:szCs w:val="44"/>
        </w:rPr>
      </w:pPr>
      <w:r>
        <w:rPr>
          <w:rFonts w:hint="eastAsia" w:asciiTheme="minorEastAsia" w:hAnsiTheme="minorEastAsia"/>
          <w:sz w:val="44"/>
          <w:szCs w:val="44"/>
        </w:rPr>
        <w:t>浉河区委党校</w:t>
      </w:r>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2017年部门决算</w:t>
      </w:r>
    </w:p>
    <w:p/>
    <w:p/>
    <w:p/>
    <w:p/>
    <w:p/>
    <w:p/>
    <w:p/>
    <w:p/>
    <w:p/>
    <w:p/>
    <w:p/>
    <w:p/>
    <w:p/>
    <w:p/>
    <w:p/>
    <w:p/>
    <w:p/>
    <w:p/>
    <w:p/>
    <w:p/>
    <w:p/>
    <w:p/>
    <w:p/>
    <w:p/>
    <w:p/>
    <w:p/>
    <w:p/>
    <w:p/>
    <w:p/>
    <w:p/>
    <w:p/>
    <w:p/>
    <w:p/>
    <w:p>
      <w:pPr>
        <w:jc w:val="center"/>
        <w:rPr>
          <w:rFonts w:ascii="仿宋_GB2312" w:eastAsia="仿宋_GB2312"/>
          <w:b/>
          <w:sz w:val="44"/>
          <w:szCs w:val="44"/>
        </w:rPr>
      </w:pPr>
      <w:r>
        <w:rPr>
          <w:rFonts w:hint="eastAsia" w:ascii="仿宋_GB2312" w:eastAsia="仿宋_GB2312"/>
          <w:b/>
          <w:sz w:val="44"/>
          <w:szCs w:val="44"/>
        </w:rPr>
        <w:t>目   录</w:t>
      </w: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 xml:space="preserve">第一部分  </w:t>
      </w:r>
      <w:r>
        <w:rPr>
          <w:rFonts w:hint="eastAsia" w:ascii="仿宋_GB2312"/>
          <w:b/>
          <w:sz w:val="30"/>
          <w:szCs w:val="30"/>
        </w:rPr>
        <w:t>浉</w:t>
      </w:r>
      <w:r>
        <w:rPr>
          <w:rFonts w:hint="eastAsia" w:ascii="仿宋_GB2312" w:eastAsia="仿宋_GB2312"/>
          <w:b/>
          <w:sz w:val="30"/>
          <w:szCs w:val="30"/>
        </w:rPr>
        <w:t>河区委党校概况</w:t>
      </w:r>
    </w:p>
    <w:p>
      <w:pPr>
        <w:pStyle w:val="8"/>
        <w:numPr>
          <w:ilvl w:val="0"/>
          <w:numId w:val="1"/>
        </w:numPr>
        <w:ind w:firstLineChars="0"/>
        <w:rPr>
          <w:rFonts w:ascii="仿宋_GB2312" w:eastAsia="仿宋_GB2312"/>
          <w:sz w:val="30"/>
          <w:szCs w:val="30"/>
        </w:rPr>
      </w:pPr>
      <w:r>
        <w:rPr>
          <w:rFonts w:hint="eastAsia" w:ascii="仿宋_GB2312" w:eastAsia="仿宋_GB2312"/>
          <w:sz w:val="30"/>
          <w:szCs w:val="30"/>
        </w:rPr>
        <w:t>主要职能</w:t>
      </w:r>
    </w:p>
    <w:p>
      <w:pPr>
        <w:rPr>
          <w:rFonts w:ascii="仿宋_GB2312" w:eastAsia="仿宋_GB2312"/>
          <w:sz w:val="30"/>
          <w:szCs w:val="30"/>
        </w:rPr>
      </w:pPr>
      <w:r>
        <w:rPr>
          <w:rFonts w:hint="eastAsia" w:ascii="仿宋_GB2312" w:eastAsia="仿宋_GB2312"/>
          <w:sz w:val="30"/>
          <w:szCs w:val="30"/>
        </w:rPr>
        <w:t>二、部门决算单位构成</w:t>
      </w:r>
    </w:p>
    <w:p>
      <w:pPr>
        <w:rPr>
          <w:rFonts w:ascii="仿宋_GB2312" w:eastAsia="仿宋_GB2312"/>
          <w:b/>
          <w:sz w:val="30"/>
          <w:szCs w:val="30"/>
        </w:rPr>
      </w:pPr>
      <w:r>
        <w:rPr>
          <w:rFonts w:hint="eastAsia" w:ascii="仿宋_GB2312" w:eastAsia="仿宋_GB2312"/>
          <w:b/>
          <w:sz w:val="30"/>
          <w:szCs w:val="30"/>
        </w:rPr>
        <w:t xml:space="preserve">第二部分  </w:t>
      </w:r>
      <w:r>
        <w:rPr>
          <w:rFonts w:hint="eastAsia" w:ascii="仿宋_GB2312"/>
          <w:b/>
          <w:sz w:val="30"/>
          <w:szCs w:val="30"/>
        </w:rPr>
        <w:t>浉</w:t>
      </w:r>
      <w:r>
        <w:rPr>
          <w:rFonts w:hint="eastAsia" w:ascii="仿宋_GB2312" w:eastAsia="仿宋_GB2312"/>
          <w:b/>
          <w:sz w:val="30"/>
          <w:szCs w:val="30"/>
        </w:rPr>
        <w:t>河区委党校2017部门决算情况说明</w:t>
      </w:r>
    </w:p>
    <w:p>
      <w:pPr>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rPr>
        <w:tab/>
      </w:r>
      <w:r>
        <w:rPr>
          <w:rFonts w:hint="eastAsia" w:ascii="仿宋_GB2312" w:eastAsia="仿宋_GB2312"/>
          <w:sz w:val="30"/>
          <w:szCs w:val="30"/>
        </w:rPr>
        <w:t>关于收入支出决算总表情况说明</w:t>
      </w:r>
    </w:p>
    <w:p>
      <w:pPr>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rPr>
        <w:tab/>
      </w:r>
      <w:r>
        <w:rPr>
          <w:rFonts w:hint="eastAsia" w:ascii="仿宋_GB2312" w:eastAsia="仿宋_GB2312"/>
          <w:sz w:val="30"/>
          <w:szCs w:val="30"/>
        </w:rPr>
        <w:t>关于收入决算表情况说明</w:t>
      </w:r>
    </w:p>
    <w:p>
      <w:pPr>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rPr>
        <w:tab/>
      </w:r>
      <w:r>
        <w:rPr>
          <w:rFonts w:hint="eastAsia" w:ascii="仿宋_GB2312" w:eastAsia="仿宋_GB2312"/>
          <w:sz w:val="30"/>
          <w:szCs w:val="30"/>
        </w:rPr>
        <w:t>关于支出决算表情况说明</w:t>
      </w:r>
    </w:p>
    <w:p>
      <w:pPr>
        <w:rPr>
          <w:rFonts w:ascii="仿宋_GB2312" w:eastAsia="仿宋_GB2312"/>
          <w:sz w:val="30"/>
          <w:szCs w:val="30"/>
        </w:rPr>
      </w:pPr>
      <w:r>
        <w:rPr>
          <w:rFonts w:hint="eastAsia" w:ascii="仿宋_GB2312" w:eastAsia="仿宋_GB2312"/>
          <w:sz w:val="30"/>
          <w:szCs w:val="30"/>
        </w:rPr>
        <w:t>四、</w:t>
      </w:r>
      <w:r>
        <w:rPr>
          <w:rFonts w:hint="eastAsia" w:ascii="仿宋_GB2312" w:eastAsia="仿宋_GB2312"/>
          <w:sz w:val="30"/>
          <w:szCs w:val="30"/>
        </w:rPr>
        <w:tab/>
      </w:r>
      <w:r>
        <w:rPr>
          <w:rFonts w:hint="eastAsia" w:ascii="仿宋_GB2312" w:eastAsia="仿宋_GB2312"/>
          <w:sz w:val="30"/>
          <w:szCs w:val="30"/>
        </w:rPr>
        <w:t>关于财政拨款收入支出决算总表情况说明</w:t>
      </w:r>
    </w:p>
    <w:p>
      <w:pPr>
        <w:rPr>
          <w:rFonts w:ascii="仿宋_GB2312" w:eastAsia="仿宋_GB2312"/>
          <w:sz w:val="30"/>
          <w:szCs w:val="30"/>
        </w:rPr>
      </w:pPr>
      <w:r>
        <w:rPr>
          <w:rFonts w:hint="eastAsia" w:ascii="仿宋_GB2312" w:eastAsia="仿宋_GB2312"/>
          <w:sz w:val="30"/>
          <w:szCs w:val="30"/>
        </w:rPr>
        <w:t>五、关于一般公共预算财政拨款支出决算表情况说明</w:t>
      </w:r>
    </w:p>
    <w:p>
      <w:pPr>
        <w:rPr>
          <w:rFonts w:ascii="仿宋_GB2312" w:eastAsia="仿宋_GB2312"/>
          <w:sz w:val="30"/>
          <w:szCs w:val="30"/>
        </w:rPr>
      </w:pPr>
      <w:r>
        <w:rPr>
          <w:rFonts w:hint="eastAsia" w:ascii="仿宋_GB2312" w:eastAsia="仿宋_GB2312"/>
          <w:sz w:val="30"/>
          <w:szCs w:val="30"/>
        </w:rPr>
        <w:t>六、关于一般公共预算财政拨款基本支出决算表情况说明</w:t>
      </w:r>
    </w:p>
    <w:p>
      <w:pPr>
        <w:rPr>
          <w:rFonts w:ascii="仿宋_GB2312" w:eastAsia="仿宋_GB2312"/>
          <w:sz w:val="30"/>
          <w:szCs w:val="30"/>
        </w:rPr>
      </w:pPr>
      <w:r>
        <w:rPr>
          <w:rFonts w:hint="eastAsia" w:ascii="仿宋_GB2312" w:eastAsia="仿宋_GB2312"/>
          <w:sz w:val="30"/>
          <w:szCs w:val="30"/>
        </w:rPr>
        <w:t>七、关于一般公共预算财政拨款“三公”经费支出决算表算表情况说明</w:t>
      </w:r>
    </w:p>
    <w:p>
      <w:pPr>
        <w:rPr>
          <w:rFonts w:ascii="仿宋_GB2312" w:eastAsia="仿宋_GB2312"/>
          <w:sz w:val="30"/>
          <w:szCs w:val="30"/>
        </w:rPr>
      </w:pPr>
      <w:r>
        <w:rPr>
          <w:rFonts w:hint="eastAsia" w:ascii="仿宋_GB2312" w:eastAsia="仿宋_GB2312"/>
          <w:sz w:val="30"/>
          <w:szCs w:val="30"/>
        </w:rPr>
        <w:t>八、关于预算绩效情况说明</w:t>
      </w:r>
    </w:p>
    <w:p>
      <w:pPr>
        <w:rPr>
          <w:rFonts w:ascii="仿宋_GB2312" w:eastAsia="仿宋_GB2312"/>
          <w:sz w:val="30"/>
          <w:szCs w:val="30"/>
        </w:rPr>
      </w:pPr>
      <w:r>
        <w:rPr>
          <w:rFonts w:hint="eastAsia" w:ascii="仿宋_GB2312" w:eastAsia="仿宋_GB2312"/>
          <w:sz w:val="30"/>
          <w:szCs w:val="30"/>
        </w:rPr>
        <w:t>九、关于政府性基金预算财政拨款收入支出决算表情况说明</w:t>
      </w:r>
    </w:p>
    <w:p>
      <w:pPr>
        <w:rPr>
          <w:rFonts w:ascii="仿宋_GB2312" w:eastAsia="仿宋_GB2312"/>
          <w:sz w:val="30"/>
          <w:szCs w:val="30"/>
        </w:rPr>
      </w:pPr>
      <w:r>
        <w:rPr>
          <w:rFonts w:hint="eastAsia" w:ascii="仿宋_GB2312" w:eastAsia="仿宋_GB2312"/>
          <w:sz w:val="30"/>
          <w:szCs w:val="30"/>
        </w:rPr>
        <w:t>十、其他重要事项情况说明</w:t>
      </w:r>
    </w:p>
    <w:p>
      <w:pPr>
        <w:rPr>
          <w:rFonts w:ascii="仿宋_GB2312" w:eastAsia="仿宋_GB2312"/>
          <w:b/>
          <w:sz w:val="30"/>
          <w:szCs w:val="30"/>
        </w:rPr>
      </w:pPr>
      <w:r>
        <w:rPr>
          <w:rFonts w:hint="eastAsia" w:ascii="仿宋_GB2312" w:eastAsia="仿宋_GB2312"/>
          <w:b/>
          <w:sz w:val="30"/>
          <w:szCs w:val="30"/>
        </w:rPr>
        <w:t>第三部分   名词解释</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 xml:space="preserve">第一部分  </w:t>
      </w:r>
      <w:r>
        <w:rPr>
          <w:rFonts w:hint="eastAsia" w:ascii="仿宋_GB2312"/>
          <w:b/>
          <w:sz w:val="30"/>
          <w:szCs w:val="30"/>
        </w:rPr>
        <w:t>浉</w:t>
      </w:r>
      <w:r>
        <w:rPr>
          <w:rFonts w:hint="eastAsia" w:ascii="仿宋_GB2312" w:eastAsia="仿宋_GB2312"/>
          <w:b/>
          <w:sz w:val="30"/>
          <w:szCs w:val="30"/>
        </w:rPr>
        <w:t>河区委党校概况</w:t>
      </w:r>
    </w:p>
    <w:p>
      <w:pPr>
        <w:rPr>
          <w:rFonts w:ascii="仿宋_GB2312" w:eastAsia="仿宋_GB2312"/>
          <w:sz w:val="30"/>
          <w:szCs w:val="30"/>
        </w:rPr>
      </w:pPr>
      <w:r>
        <w:rPr>
          <w:rFonts w:hint="eastAsia" w:ascii="仿宋_GB2312" w:eastAsia="仿宋_GB2312"/>
          <w:sz w:val="30"/>
          <w:szCs w:val="30"/>
        </w:rPr>
        <w:t>一、部门主要职能</w:t>
      </w:r>
    </w:p>
    <w:p>
      <w:pPr>
        <w:ind w:firstLine="600" w:firstLineChars="200"/>
        <w:rPr>
          <w:rFonts w:ascii="仿宋_GB2312" w:eastAsia="仿宋_GB2312"/>
          <w:sz w:val="30"/>
          <w:szCs w:val="30"/>
        </w:rPr>
      </w:pPr>
      <w:r>
        <w:rPr>
          <w:rFonts w:hint="eastAsia" w:ascii="仿宋_GB2312"/>
          <w:sz w:val="30"/>
          <w:szCs w:val="30"/>
        </w:rPr>
        <w:t>浉</w:t>
      </w:r>
      <w:r>
        <w:rPr>
          <w:rFonts w:hint="eastAsia" w:ascii="仿宋_GB2312" w:eastAsia="仿宋_GB2312"/>
          <w:sz w:val="30"/>
          <w:szCs w:val="30"/>
        </w:rPr>
        <w:t xml:space="preserve">河区委党校主要职责：宣传马列主义、毛泽东思想、邓小平理论和党的路线、方有计划的轮训和培训我区党员领导干部、国家公务员和意识形态部门的理论骨干；协同组织、人事部门对学员在校学习期间的表现进行考核考察；围绕党的中心任务和区委、区政府的部署，对国际国内出现的新情况、新问题开展理论研究，为教学和社会实践服务。培训中青年后备干部、科级及其以下党员干部和入党积极分子 ；完成区委、区政府和上级主管部门交办的其他事项 。针、政策；根据区委、区政府对干部队伍建设的要求， </w:t>
      </w:r>
    </w:p>
    <w:p>
      <w:pPr>
        <w:ind w:firstLine="600" w:firstLineChars="200"/>
        <w:rPr>
          <w:rFonts w:ascii="仿宋_GB2312" w:eastAsia="仿宋_GB2312"/>
          <w:sz w:val="30"/>
          <w:szCs w:val="30"/>
        </w:rPr>
      </w:pPr>
      <w:r>
        <w:rPr>
          <w:rFonts w:hint="eastAsia" w:ascii="仿宋_GB2312" w:eastAsia="仿宋_GB2312"/>
          <w:sz w:val="30"/>
          <w:szCs w:val="30"/>
        </w:rPr>
        <w:t>中共信阳市</w:t>
      </w:r>
      <w:r>
        <w:rPr>
          <w:rFonts w:hint="eastAsia" w:ascii="仿宋_GB2312"/>
          <w:sz w:val="30"/>
          <w:szCs w:val="30"/>
        </w:rPr>
        <w:t>浉</w:t>
      </w:r>
      <w:r>
        <w:rPr>
          <w:rFonts w:hint="eastAsia" w:ascii="仿宋_GB2312" w:eastAsia="仿宋_GB2312"/>
          <w:sz w:val="30"/>
          <w:szCs w:val="30"/>
        </w:rPr>
        <w:t>河区委党校（信阳市</w:t>
      </w:r>
      <w:r>
        <w:rPr>
          <w:rFonts w:hint="eastAsia" w:ascii="仿宋_GB2312"/>
          <w:sz w:val="30"/>
          <w:szCs w:val="30"/>
        </w:rPr>
        <w:t>浉</w:t>
      </w:r>
      <w:r>
        <w:rPr>
          <w:rFonts w:hint="eastAsia" w:ascii="仿宋_GB2312" w:eastAsia="仿宋_GB2312"/>
          <w:sz w:val="30"/>
          <w:szCs w:val="30"/>
        </w:rPr>
        <w:t>河区行政干部学校）内设4个职能股室：1、办公室负责落实党校党委的决议、决定；负责组织重大活动和会议；负责上传下达、文件收发、立卷归档、文秘、党务、机要、保密、信访、计划生育和安全保卫工作；负责对内对外的联系、协调工作；负责车辆使用和管理工作；负责党校干部人事管理和劳动工资工作；负责老干部服务和管理工作。2、教研室负责校内各学科的教学工作，负责编制科研规划、管理、协调科研活动，对马列主义基本理论和改革开放以来出现的新情况、新问题开展理论研究。3教务处负责教学计划的制定和教学管理；负责在校学员的日常管理；负责师资队伍建设工作；负责函授学员的招生、教学、学籍管理等方面的管理工作。4、总务处负责学校的物资供应和财务管理工作；负责学校各项经费的收支预算、结算、分配和使用；承担在校学员和工作人员的生活服务；负责学校基本建设、卫生管理、绿化建设、固定资产、水电管理和维修工作。</w:t>
      </w:r>
    </w:p>
    <w:p>
      <w:pPr>
        <w:ind w:firstLine="600" w:firstLineChars="200"/>
        <w:rPr>
          <w:rFonts w:ascii="仿宋_GB2312" w:eastAsia="仿宋_GB2312"/>
          <w:sz w:val="30"/>
          <w:szCs w:val="30"/>
        </w:rPr>
      </w:pPr>
      <w:r>
        <w:rPr>
          <w:rFonts w:hint="eastAsia" w:ascii="仿宋_GB2312" w:eastAsia="仿宋_GB2312"/>
          <w:sz w:val="30"/>
          <w:szCs w:val="30"/>
        </w:rPr>
        <w:t>二、部门决算单位构成</w:t>
      </w:r>
    </w:p>
    <w:p>
      <w:pPr>
        <w:rPr>
          <w:rFonts w:ascii="仿宋_GB2312" w:eastAsia="仿宋_GB2312"/>
          <w:sz w:val="30"/>
          <w:szCs w:val="30"/>
        </w:rPr>
      </w:pPr>
      <w:r>
        <w:rPr>
          <w:rFonts w:hint="eastAsia" w:ascii="仿宋_GB2312" w:eastAsia="仿宋_GB2312"/>
          <w:sz w:val="30"/>
          <w:szCs w:val="30"/>
        </w:rPr>
        <w:t>包括本级预算和所属单位预算在内的汇总预算</w:t>
      </w:r>
    </w:p>
    <w:p>
      <w:pPr>
        <w:rPr>
          <w:rFonts w:ascii="仿宋_GB2312" w:eastAsia="仿宋_GB2312"/>
          <w:sz w:val="30"/>
          <w:szCs w:val="30"/>
        </w:rPr>
      </w:pPr>
      <w:r>
        <w:rPr>
          <w:rFonts w:hint="eastAsia" w:ascii="仿宋_GB2312" w:eastAsia="仿宋_GB2312"/>
          <w:sz w:val="30"/>
          <w:szCs w:val="30"/>
        </w:rPr>
        <w:t xml:space="preserve">本单位无二级机构 </w:t>
      </w:r>
    </w:p>
    <w:p>
      <w:pPr>
        <w:rPr>
          <w:rFonts w:ascii="仿宋_GB2312" w:eastAsia="仿宋_GB2312"/>
          <w:b/>
          <w:sz w:val="30"/>
          <w:szCs w:val="30"/>
        </w:rPr>
      </w:pPr>
      <w:r>
        <w:rPr>
          <w:rFonts w:hint="eastAsia" w:ascii="仿宋_GB2312" w:eastAsia="仿宋_GB2312"/>
          <w:b/>
          <w:sz w:val="30"/>
          <w:szCs w:val="30"/>
        </w:rPr>
        <w:t xml:space="preserve">  </w:t>
      </w:r>
      <w:r>
        <w:rPr>
          <w:rFonts w:hint="eastAsia" w:ascii="仿宋_GB2312"/>
          <w:b/>
          <w:sz w:val="30"/>
          <w:szCs w:val="30"/>
        </w:rPr>
        <w:t>浉</w:t>
      </w:r>
      <w:r>
        <w:rPr>
          <w:rFonts w:hint="eastAsia" w:ascii="仿宋_GB2312" w:eastAsia="仿宋_GB2312"/>
          <w:b/>
          <w:sz w:val="30"/>
          <w:szCs w:val="30"/>
        </w:rPr>
        <w:t>河区委党校2017部门决算表</w:t>
      </w:r>
    </w:p>
    <w:p>
      <w:pPr>
        <w:rPr>
          <w:rFonts w:ascii="仿宋_GB2312" w:eastAsia="仿宋_GB2312"/>
          <w:sz w:val="30"/>
          <w:szCs w:val="30"/>
        </w:rPr>
      </w:pPr>
      <w:r>
        <w:rPr>
          <w:rFonts w:hint="eastAsia" w:ascii="仿宋_GB2312" w:eastAsia="仿宋_GB2312"/>
          <w:sz w:val="30"/>
          <w:szCs w:val="30"/>
        </w:rPr>
        <w:t xml:space="preserve">     收人支出决算总体情况表</w:t>
      </w:r>
    </w:p>
    <w:tbl>
      <w:tblPr>
        <w:tblStyle w:val="5"/>
        <w:tblW w:w="9116" w:type="dxa"/>
        <w:tblInd w:w="93" w:type="dxa"/>
        <w:tblLayout w:type="fixed"/>
        <w:tblCellMar>
          <w:top w:w="0" w:type="dxa"/>
          <w:left w:w="108" w:type="dxa"/>
          <w:bottom w:w="0" w:type="dxa"/>
          <w:right w:w="108" w:type="dxa"/>
        </w:tblCellMar>
      </w:tblPr>
      <w:tblGrid>
        <w:gridCol w:w="3000"/>
        <w:gridCol w:w="520"/>
        <w:gridCol w:w="1296"/>
        <w:gridCol w:w="2440"/>
        <w:gridCol w:w="520"/>
        <w:gridCol w:w="1340"/>
      </w:tblGrid>
      <w:tr>
        <w:tblPrEx>
          <w:tblLayout w:type="fixed"/>
          <w:tblCellMar>
            <w:top w:w="0" w:type="dxa"/>
            <w:left w:w="108" w:type="dxa"/>
            <w:bottom w:w="0" w:type="dxa"/>
            <w:right w:w="108" w:type="dxa"/>
          </w:tblCellMar>
        </w:tblPrEx>
        <w:trPr>
          <w:trHeight w:val="282" w:hRule="atLeast"/>
        </w:trPr>
        <w:tc>
          <w:tcPr>
            <w:tcW w:w="481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收入</w:t>
            </w:r>
          </w:p>
        </w:tc>
        <w:tc>
          <w:tcPr>
            <w:tcW w:w="430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129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2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9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2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一、财政拨款收入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296"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406.20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一、一般公共服务支出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354.85</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其中：政府性基金预算财政拨款</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二、外交支出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二、上级补助收入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三、国防支出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三、事业收入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四、公共安全支出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四、经营收入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五、教育支出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五、附属单位上缴收入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六、科学技术支出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六、其他收入</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七、文化体育与传媒支出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八、社会保障和就业支出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25.63</w:t>
            </w:r>
          </w:p>
        </w:tc>
      </w:tr>
      <w:tr>
        <w:tblPrEx>
          <w:tblLayout w:type="fixed"/>
          <w:tblCellMar>
            <w:top w:w="0" w:type="dxa"/>
            <w:left w:w="108" w:type="dxa"/>
            <w:bottom w:w="0" w:type="dxa"/>
            <w:right w:w="108" w:type="dxa"/>
          </w:tblCellMar>
        </w:tblPrEx>
        <w:trPr>
          <w:trHeight w:val="363"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九、医疗卫生与计划生育支出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10.39</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十、节能环保支出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十一、城乡社区支出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十二、农林水支出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十三、交通运输支出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十四、资源勘探信息等支出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十五、商业服务业等支出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十六、金融支出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十七、援助其他地区支出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十八、国土海洋气象等支出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十九、住房保障支出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15.33</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二十、粮油物资储备支出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二十一、其他支出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57</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二十二、债务还本支出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58</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二十三、债务付息支出</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59</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本年收入合计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406.20</w:t>
            </w:r>
          </w:p>
        </w:tc>
        <w:tc>
          <w:tcPr>
            <w:tcW w:w="2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本年支出合计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60</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406.20</w:t>
            </w:r>
            <w:r>
              <w:rPr>
                <w:rFonts w:hint="eastAsia" w:ascii="宋体" w:hAnsi="宋体" w:eastAsia="宋体" w:cs="Arial"/>
                <w:color w:val="000000"/>
                <w:kern w:val="0"/>
                <w:sz w:val="18"/>
                <w:szCs w:val="18"/>
              </w:rPr>
              <w:t>.00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用事业基金弥补收支差额</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结余分配</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61</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年初结转和结余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交纳所得税</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62</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基本支出结转</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提取职工福利基金</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63</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项目支出结转和结余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转入事业基金</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64</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经营结余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65</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年末结转和结余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66</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基本支出结转</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67</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项目支出结转和结余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68</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经营结余</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69</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70</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12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4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71</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Layout w:type="fixed"/>
          <w:tblCellMar>
            <w:top w:w="0" w:type="dxa"/>
            <w:left w:w="108" w:type="dxa"/>
            <w:bottom w:w="0" w:type="dxa"/>
            <w:right w:w="108" w:type="dxa"/>
          </w:tblCellMar>
        </w:tblPrEx>
        <w:trPr>
          <w:trHeight w:val="282" w:hRule="atLeast"/>
        </w:trPr>
        <w:tc>
          <w:tcPr>
            <w:tcW w:w="30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1296" w:type="dxa"/>
            <w:tcBorders>
              <w:top w:val="nil"/>
              <w:left w:val="nil"/>
              <w:bottom w:val="single" w:color="000000" w:sz="4" w:space="0"/>
              <w:right w:val="single" w:color="000000" w:sz="4" w:space="0"/>
            </w:tcBorders>
            <w:shd w:val="clear" w:color="auto" w:fill="auto"/>
            <w:vAlign w:val="center"/>
          </w:tcPr>
          <w:p>
            <w:pPr>
              <w:widowControl/>
              <w:jc w:val="both"/>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406.20</w:t>
            </w:r>
          </w:p>
        </w:tc>
        <w:tc>
          <w:tcPr>
            <w:tcW w:w="2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72</w:t>
            </w:r>
          </w:p>
        </w:tc>
        <w:tc>
          <w:tcPr>
            <w:tcW w:w="1340" w:type="dxa"/>
            <w:tcBorders>
              <w:top w:val="nil"/>
              <w:left w:val="nil"/>
              <w:bottom w:val="single" w:color="000000" w:sz="4" w:space="0"/>
              <w:right w:val="single" w:color="000000" w:sz="4" w:space="0"/>
            </w:tcBorders>
            <w:shd w:val="clear" w:color="auto" w:fill="auto"/>
            <w:vAlign w:val="center"/>
          </w:tcPr>
          <w:p>
            <w:pPr>
              <w:widowControl/>
              <w:jc w:val="both"/>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406.20</w:t>
            </w:r>
          </w:p>
        </w:tc>
      </w:tr>
      <w:tr>
        <w:tblPrEx>
          <w:tblLayout w:type="fixed"/>
          <w:tblCellMar>
            <w:top w:w="0" w:type="dxa"/>
            <w:left w:w="108" w:type="dxa"/>
            <w:bottom w:w="0" w:type="dxa"/>
            <w:right w:w="108" w:type="dxa"/>
          </w:tblCellMar>
        </w:tblPrEx>
        <w:trPr>
          <w:trHeight w:val="282" w:hRule="atLeast"/>
        </w:trPr>
        <w:tc>
          <w:tcPr>
            <w:tcW w:w="9116" w:type="dxa"/>
            <w:gridSpan w:val="6"/>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p>
        </w:tc>
      </w:tr>
    </w:tbl>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收入决算表</w:t>
      </w:r>
    </w:p>
    <w:tbl>
      <w:tblPr>
        <w:tblStyle w:val="5"/>
        <w:tblW w:w="9570" w:type="dxa"/>
        <w:tblInd w:w="93" w:type="dxa"/>
        <w:tblLayout w:type="fixed"/>
        <w:tblCellMar>
          <w:top w:w="0" w:type="dxa"/>
          <w:left w:w="108" w:type="dxa"/>
          <w:bottom w:w="0" w:type="dxa"/>
          <w:right w:w="108" w:type="dxa"/>
        </w:tblCellMar>
      </w:tblPr>
      <w:tblGrid>
        <w:gridCol w:w="356"/>
        <w:gridCol w:w="356"/>
        <w:gridCol w:w="356"/>
        <w:gridCol w:w="2806"/>
        <w:gridCol w:w="1220"/>
        <w:gridCol w:w="1220"/>
        <w:gridCol w:w="573"/>
        <w:gridCol w:w="612"/>
        <w:gridCol w:w="573"/>
        <w:gridCol w:w="573"/>
        <w:gridCol w:w="925"/>
      </w:tblGrid>
      <w:tr>
        <w:tblPrEx>
          <w:tblLayout w:type="fixed"/>
          <w:tblCellMar>
            <w:top w:w="0" w:type="dxa"/>
            <w:left w:w="108" w:type="dxa"/>
            <w:bottom w:w="0" w:type="dxa"/>
            <w:right w:w="108" w:type="dxa"/>
          </w:tblCellMar>
        </w:tblPrEx>
        <w:trPr>
          <w:trHeight w:val="312" w:hRule="atLeast"/>
        </w:trPr>
        <w:tc>
          <w:tcPr>
            <w:tcW w:w="106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科目编码</w:t>
            </w:r>
          </w:p>
        </w:tc>
        <w:tc>
          <w:tcPr>
            <w:tcW w:w="280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科目名称</w:t>
            </w:r>
          </w:p>
        </w:tc>
        <w:tc>
          <w:tcPr>
            <w:tcW w:w="122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本年收入合计</w:t>
            </w:r>
          </w:p>
        </w:tc>
        <w:tc>
          <w:tcPr>
            <w:tcW w:w="122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财政拨款收入</w:t>
            </w:r>
          </w:p>
        </w:tc>
        <w:tc>
          <w:tcPr>
            <w:tcW w:w="5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上级补助收入</w:t>
            </w:r>
          </w:p>
        </w:tc>
        <w:tc>
          <w:tcPr>
            <w:tcW w:w="61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事业收入</w:t>
            </w:r>
          </w:p>
        </w:tc>
        <w:tc>
          <w:tcPr>
            <w:tcW w:w="5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经营收入</w:t>
            </w:r>
          </w:p>
        </w:tc>
        <w:tc>
          <w:tcPr>
            <w:tcW w:w="5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附属单位上缴收入</w:t>
            </w:r>
          </w:p>
        </w:tc>
        <w:tc>
          <w:tcPr>
            <w:tcW w:w="92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其他收入</w:t>
            </w:r>
          </w:p>
        </w:tc>
      </w:tr>
      <w:tr>
        <w:tblPrEx>
          <w:tblLayout w:type="fixed"/>
          <w:tblCellMar>
            <w:top w:w="0" w:type="dxa"/>
            <w:left w:w="108" w:type="dxa"/>
            <w:bottom w:w="0" w:type="dxa"/>
            <w:right w:w="108" w:type="dxa"/>
          </w:tblCellMar>
        </w:tblPrEx>
        <w:trPr>
          <w:trHeight w:val="312"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28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61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9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r>
      <w:tr>
        <w:tblPrEx>
          <w:tblLayout w:type="fixed"/>
          <w:tblCellMar>
            <w:top w:w="0" w:type="dxa"/>
            <w:left w:w="108" w:type="dxa"/>
            <w:bottom w:w="0" w:type="dxa"/>
            <w:right w:w="108" w:type="dxa"/>
          </w:tblCellMar>
        </w:tblPrEx>
        <w:trPr>
          <w:trHeight w:val="312"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28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61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9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r>
      <w:tr>
        <w:tblPrEx>
          <w:tblLayout w:type="fixed"/>
          <w:tblCellMar>
            <w:top w:w="0" w:type="dxa"/>
            <w:left w:w="108" w:type="dxa"/>
            <w:bottom w:w="0" w:type="dxa"/>
            <w:right w:w="108" w:type="dxa"/>
          </w:tblCellMar>
        </w:tblPrEx>
        <w:trPr>
          <w:trHeight w:val="312"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28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12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61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5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9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r>
      <w:tr>
        <w:tblPrEx>
          <w:tblLayout w:type="fixed"/>
          <w:tblCellMar>
            <w:top w:w="0" w:type="dxa"/>
            <w:left w:w="108" w:type="dxa"/>
            <w:bottom w:w="0" w:type="dxa"/>
            <w:right w:w="108" w:type="dxa"/>
          </w:tblCellMar>
        </w:tblPrEx>
        <w:trPr>
          <w:trHeight w:val="308" w:hRule="atLeast"/>
        </w:trPr>
        <w:tc>
          <w:tcPr>
            <w:tcW w:w="35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类</w:t>
            </w:r>
          </w:p>
        </w:tc>
        <w:tc>
          <w:tcPr>
            <w:tcW w:w="35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款</w:t>
            </w:r>
          </w:p>
        </w:tc>
        <w:tc>
          <w:tcPr>
            <w:tcW w:w="35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项</w:t>
            </w:r>
          </w:p>
        </w:tc>
        <w:tc>
          <w:tcPr>
            <w:tcW w:w="28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栏次</w:t>
            </w:r>
          </w:p>
        </w:tc>
        <w:tc>
          <w:tcPr>
            <w:tcW w:w="1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w:t>
            </w:r>
          </w:p>
        </w:tc>
        <w:tc>
          <w:tcPr>
            <w:tcW w:w="1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2</w:t>
            </w:r>
          </w:p>
        </w:tc>
        <w:tc>
          <w:tcPr>
            <w:tcW w:w="5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3</w:t>
            </w:r>
          </w:p>
        </w:tc>
        <w:tc>
          <w:tcPr>
            <w:tcW w:w="61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4</w:t>
            </w:r>
          </w:p>
        </w:tc>
        <w:tc>
          <w:tcPr>
            <w:tcW w:w="5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5</w:t>
            </w:r>
          </w:p>
        </w:tc>
        <w:tc>
          <w:tcPr>
            <w:tcW w:w="5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6</w:t>
            </w:r>
          </w:p>
        </w:tc>
        <w:tc>
          <w:tcPr>
            <w:tcW w:w="92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7</w:t>
            </w:r>
          </w:p>
        </w:tc>
      </w:tr>
      <w:tr>
        <w:tblPrEx>
          <w:tblLayout w:type="fixed"/>
          <w:tblCellMar>
            <w:top w:w="0" w:type="dxa"/>
            <w:left w:w="108" w:type="dxa"/>
            <w:bottom w:w="0" w:type="dxa"/>
            <w:right w:w="108" w:type="dxa"/>
          </w:tblCellMar>
        </w:tblPrEx>
        <w:trPr>
          <w:trHeight w:val="308" w:hRule="atLeast"/>
        </w:trPr>
        <w:tc>
          <w:tcPr>
            <w:tcW w:w="3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3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3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4"/>
                <w:szCs w:val="14"/>
              </w:rPr>
            </w:pPr>
          </w:p>
        </w:tc>
        <w:tc>
          <w:tcPr>
            <w:tcW w:w="28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合计</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b/>
                <w:bCs/>
                <w:color w:val="000000"/>
                <w:kern w:val="0"/>
                <w:sz w:val="14"/>
                <w:szCs w:val="14"/>
                <w:lang w:val="en-US" w:eastAsia="zh-CN"/>
              </w:rPr>
            </w:pPr>
            <w:r>
              <w:rPr>
                <w:rFonts w:hint="eastAsia" w:ascii="宋体" w:hAnsi="宋体" w:eastAsia="宋体" w:cs="Arial"/>
                <w:b/>
                <w:bCs/>
                <w:color w:val="000000"/>
                <w:kern w:val="0"/>
                <w:sz w:val="14"/>
                <w:szCs w:val="14"/>
                <w:lang w:val="en-US" w:eastAsia="zh-CN"/>
              </w:rPr>
              <w:t>406.20</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b/>
                <w:bCs/>
                <w:color w:val="000000"/>
                <w:kern w:val="0"/>
                <w:sz w:val="14"/>
                <w:szCs w:val="14"/>
                <w:lang w:val="en-US" w:eastAsia="zh-CN"/>
              </w:rPr>
            </w:pPr>
            <w:r>
              <w:rPr>
                <w:rFonts w:hint="eastAsia" w:ascii="宋体" w:hAnsi="宋体" w:eastAsia="宋体" w:cs="Arial"/>
                <w:b/>
                <w:bCs/>
                <w:color w:val="000000"/>
                <w:kern w:val="0"/>
                <w:sz w:val="14"/>
                <w:szCs w:val="14"/>
                <w:lang w:val="en-US" w:eastAsia="zh-CN"/>
              </w:rPr>
              <w:t>406.20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4"/>
                <w:szCs w:val="14"/>
              </w:rPr>
            </w:pPr>
            <w:r>
              <w:rPr>
                <w:rFonts w:hint="eastAsia" w:ascii="宋体" w:hAnsi="宋体" w:eastAsia="宋体" w:cs="Arial"/>
                <w:b/>
                <w:bCs/>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4"/>
                <w:szCs w:val="14"/>
              </w:rPr>
            </w:pPr>
            <w:r>
              <w:rPr>
                <w:rFonts w:hint="eastAsia" w:ascii="宋体" w:hAnsi="宋体" w:eastAsia="宋体" w:cs="Arial"/>
                <w:b/>
                <w:bCs/>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4"/>
                <w:szCs w:val="14"/>
              </w:rPr>
            </w:pPr>
            <w:r>
              <w:rPr>
                <w:rFonts w:hint="eastAsia" w:ascii="宋体" w:hAnsi="宋体" w:eastAsia="宋体" w:cs="Arial"/>
                <w:b/>
                <w:bCs/>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4"/>
                <w:szCs w:val="14"/>
              </w:rPr>
            </w:pPr>
            <w:r>
              <w:rPr>
                <w:rFonts w:hint="eastAsia" w:ascii="宋体" w:hAnsi="宋体" w:eastAsia="宋体" w:cs="Arial"/>
                <w:b/>
                <w:bCs/>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4"/>
                <w:szCs w:val="14"/>
              </w:rPr>
            </w:pPr>
            <w:r>
              <w:rPr>
                <w:rFonts w:hint="eastAsia" w:ascii="宋体" w:hAnsi="宋体" w:eastAsia="宋体" w:cs="Arial"/>
                <w:b/>
                <w:bCs/>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一般公共服务支出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354.85</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3</w:t>
            </w:r>
            <w:r>
              <w:rPr>
                <w:rFonts w:hint="eastAsia" w:ascii="宋体" w:hAnsi="宋体" w:eastAsia="宋体" w:cs="Arial"/>
                <w:color w:val="000000"/>
                <w:kern w:val="0"/>
                <w:sz w:val="14"/>
                <w:szCs w:val="14"/>
                <w:lang w:val="en-US" w:eastAsia="zh-CN"/>
              </w:rPr>
              <w:t>54.85</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20131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党委办公厅（室）及相关机构事务</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354.85</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354.85</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2013101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行政运行</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19.41</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19.41</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2013102</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一般行政管理事务</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79.18</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79.18</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2013150</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事业运行</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2013199</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其他党委办公厅（室）及相关机构事务支出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90</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90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社会保障和就业支出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w:t>
            </w:r>
            <w:r>
              <w:rPr>
                <w:rFonts w:hint="eastAsia" w:ascii="宋体" w:hAnsi="宋体" w:eastAsia="宋体" w:cs="Arial"/>
                <w:color w:val="000000"/>
                <w:kern w:val="0"/>
                <w:sz w:val="14"/>
                <w:szCs w:val="14"/>
                <w:lang w:val="en-US" w:eastAsia="zh-CN"/>
              </w:rPr>
              <w:t>5.63</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20805</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行政事业单位离退休</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2080505</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机关事业单位基本养老保险缴费支出★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20827</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财政对其他社会保险基金的补助★</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2082701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财政对失业保险基金的补助★</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2082702</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财政对工伤保险基金的补助★</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0.23</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0.23</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2082703</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财政对生育保险基金的补助★</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0.42</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lang w:val="en-US" w:eastAsia="zh-CN"/>
              </w:rPr>
              <w:t>0.42</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210</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医疗卫生与计划生育支出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21011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行政事业单位医疗★</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2101102</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事业单位医疗★</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221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住房保障支出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14"/>
                <w:szCs w:val="14"/>
                <w:lang w:val="en-US" w:eastAsia="zh-CN"/>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22102</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住房改革支出</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106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2210201</w:t>
            </w:r>
          </w:p>
        </w:tc>
        <w:tc>
          <w:tcPr>
            <w:tcW w:w="28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住房公积金</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4"/>
                <w:szCs w:val="14"/>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6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5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c>
          <w:tcPr>
            <w:tcW w:w="9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4"/>
                <w:szCs w:val="14"/>
              </w:rPr>
            </w:pPr>
            <w:r>
              <w:rPr>
                <w:rFonts w:hint="eastAsia" w:ascii="宋体" w:hAnsi="宋体" w:eastAsia="宋体" w:cs="Arial"/>
                <w:color w:val="000000"/>
                <w:kern w:val="0"/>
                <w:sz w:val="14"/>
                <w:szCs w:val="14"/>
              </w:rPr>
              <w:t>0.00</w:t>
            </w:r>
          </w:p>
        </w:tc>
      </w:tr>
      <w:tr>
        <w:tblPrEx>
          <w:tblLayout w:type="fixed"/>
          <w:tblCellMar>
            <w:top w:w="0" w:type="dxa"/>
            <w:left w:w="108" w:type="dxa"/>
            <w:bottom w:w="0" w:type="dxa"/>
            <w:right w:w="108" w:type="dxa"/>
          </w:tblCellMar>
        </w:tblPrEx>
        <w:trPr>
          <w:trHeight w:val="308" w:hRule="atLeast"/>
        </w:trPr>
        <w:tc>
          <w:tcPr>
            <w:tcW w:w="9570"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注：1.本表依据《收入决算表》（财决03表）进行批复。</w:t>
            </w:r>
          </w:p>
        </w:tc>
      </w:tr>
      <w:tr>
        <w:tblPrEx>
          <w:tblLayout w:type="fixed"/>
          <w:tblCellMar>
            <w:top w:w="0" w:type="dxa"/>
            <w:left w:w="108" w:type="dxa"/>
            <w:bottom w:w="0" w:type="dxa"/>
            <w:right w:w="108" w:type="dxa"/>
          </w:tblCellMar>
        </w:tblPrEx>
        <w:trPr>
          <w:trHeight w:val="308" w:hRule="atLeast"/>
        </w:trPr>
        <w:tc>
          <w:tcPr>
            <w:tcW w:w="9570"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2.本表含政府性基金预算财政拨款。</w:t>
            </w:r>
          </w:p>
        </w:tc>
      </w:tr>
      <w:tr>
        <w:tblPrEx>
          <w:tblLayout w:type="fixed"/>
          <w:tblCellMar>
            <w:top w:w="0" w:type="dxa"/>
            <w:left w:w="108" w:type="dxa"/>
            <w:bottom w:w="0" w:type="dxa"/>
            <w:right w:w="108" w:type="dxa"/>
          </w:tblCellMar>
        </w:tblPrEx>
        <w:trPr>
          <w:trHeight w:val="308" w:hRule="atLeast"/>
        </w:trPr>
        <w:tc>
          <w:tcPr>
            <w:tcW w:w="9570"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3.本表批复到项级科目。</w:t>
            </w:r>
          </w:p>
        </w:tc>
      </w:tr>
      <w:tr>
        <w:tblPrEx>
          <w:tblLayout w:type="fixed"/>
          <w:tblCellMar>
            <w:top w:w="0" w:type="dxa"/>
            <w:left w:w="108" w:type="dxa"/>
            <w:bottom w:w="0" w:type="dxa"/>
            <w:right w:w="108" w:type="dxa"/>
          </w:tblCellMar>
        </w:tblPrEx>
        <w:trPr>
          <w:trHeight w:val="308" w:hRule="atLeast"/>
        </w:trPr>
        <w:tc>
          <w:tcPr>
            <w:tcW w:w="9570"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4"/>
                <w:szCs w:val="14"/>
              </w:rPr>
            </w:pPr>
            <w:r>
              <w:rPr>
                <w:rFonts w:hint="eastAsia" w:ascii="宋体" w:hAnsi="宋体" w:eastAsia="宋体" w:cs="Arial"/>
                <w:color w:val="000000"/>
                <w:kern w:val="0"/>
                <w:sz w:val="14"/>
                <w:szCs w:val="14"/>
              </w:rPr>
              <w:t xml:space="preserve">    4.本表以“万元”为金额单位（保留两位小数）。</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支出决算表</w:t>
      </w:r>
    </w:p>
    <w:tbl>
      <w:tblPr>
        <w:tblStyle w:val="5"/>
        <w:tblW w:w="9364" w:type="dxa"/>
        <w:tblInd w:w="93" w:type="dxa"/>
        <w:tblLayout w:type="fixed"/>
        <w:tblCellMar>
          <w:top w:w="0" w:type="dxa"/>
          <w:left w:w="108" w:type="dxa"/>
          <w:bottom w:w="0" w:type="dxa"/>
          <w:right w:w="108" w:type="dxa"/>
        </w:tblCellMar>
      </w:tblPr>
      <w:tblGrid>
        <w:gridCol w:w="376"/>
        <w:gridCol w:w="376"/>
        <w:gridCol w:w="376"/>
        <w:gridCol w:w="3380"/>
        <w:gridCol w:w="1360"/>
        <w:gridCol w:w="1340"/>
        <w:gridCol w:w="539"/>
        <w:gridCol w:w="539"/>
        <w:gridCol w:w="539"/>
        <w:gridCol w:w="539"/>
      </w:tblGrid>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3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36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134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上缴上级支出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3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3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3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w:t>
            </w:r>
          </w:p>
        </w:tc>
        <w:tc>
          <w:tcPr>
            <w:tcW w:w="33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3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tblPrEx>
          <w:tblLayout w:type="fixed"/>
        </w:tblPrEx>
        <w:trPr>
          <w:trHeight w:val="308" w:hRule="atLeast"/>
        </w:trPr>
        <w:tc>
          <w:tcPr>
            <w:tcW w:w="3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3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b/>
                <w:bCs/>
                <w:color w:val="000000"/>
                <w:kern w:val="0"/>
                <w:sz w:val="16"/>
                <w:szCs w:val="16"/>
                <w:lang w:val="en-US" w:eastAsia="zh-CN"/>
              </w:rPr>
            </w:pPr>
            <w:r>
              <w:rPr>
                <w:rFonts w:hint="eastAsia" w:ascii="宋体" w:hAnsi="宋体" w:eastAsia="宋体" w:cs="Arial"/>
                <w:b/>
                <w:bCs/>
                <w:color w:val="000000"/>
                <w:kern w:val="0"/>
                <w:sz w:val="16"/>
                <w:szCs w:val="16"/>
                <w:lang w:val="en-US" w:eastAsia="zh-CN"/>
              </w:rPr>
              <w:t>406.20</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Arial"/>
                <w:b/>
                <w:bCs/>
                <w:color w:val="000000"/>
                <w:kern w:val="0"/>
                <w:sz w:val="16"/>
                <w:szCs w:val="16"/>
                <w:lang w:val="en-US" w:eastAsia="zh-CN"/>
              </w:rPr>
            </w:pPr>
            <w:r>
              <w:rPr>
                <w:rFonts w:hint="eastAsia" w:ascii="宋体" w:hAnsi="宋体" w:eastAsia="宋体" w:cs="Arial"/>
                <w:b/>
                <w:bCs/>
                <w:color w:val="000000"/>
                <w:kern w:val="0"/>
                <w:sz w:val="16"/>
                <w:szCs w:val="16"/>
                <w:lang w:val="en-US" w:eastAsia="zh-CN"/>
              </w:rPr>
              <w:t>406.20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党委办公厅（室）及相关机构事务</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2013102</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一般行政管理事务</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2013150</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事业运行</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2013199</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其他党委办公厅（室）及相关机构事务支出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财政对其他社会保险基金的补助★</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财政对失业保险基金的补助★</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2082702</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财政对工伤保险基金的补助★</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2082703</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财政对生育保险基金的补助★</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医疗卫生与计划生育支出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9364"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注：1.本表依据《支出决算表》（财决04表）进行批复。</w:t>
            </w:r>
          </w:p>
        </w:tc>
      </w:tr>
      <w:tr>
        <w:tblPrEx>
          <w:tblLayout w:type="fixed"/>
          <w:tblCellMar>
            <w:top w:w="0" w:type="dxa"/>
            <w:left w:w="108" w:type="dxa"/>
            <w:bottom w:w="0" w:type="dxa"/>
            <w:right w:w="108" w:type="dxa"/>
          </w:tblCellMar>
        </w:tblPrEx>
        <w:trPr>
          <w:trHeight w:val="308" w:hRule="atLeast"/>
        </w:trPr>
        <w:tc>
          <w:tcPr>
            <w:tcW w:w="9364"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2.本表含政府性基金预算财政拨款。</w:t>
            </w:r>
          </w:p>
        </w:tc>
      </w:tr>
      <w:tr>
        <w:tblPrEx>
          <w:tblLayout w:type="fixed"/>
          <w:tblCellMar>
            <w:top w:w="0" w:type="dxa"/>
            <w:left w:w="108" w:type="dxa"/>
            <w:bottom w:w="0" w:type="dxa"/>
            <w:right w:w="108" w:type="dxa"/>
          </w:tblCellMar>
        </w:tblPrEx>
        <w:trPr>
          <w:trHeight w:val="308" w:hRule="atLeast"/>
        </w:trPr>
        <w:tc>
          <w:tcPr>
            <w:tcW w:w="9364"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3.本表批复到项级科目。</w:t>
            </w:r>
          </w:p>
        </w:tc>
      </w:tr>
      <w:tr>
        <w:tblPrEx>
          <w:tblLayout w:type="fixed"/>
          <w:tblCellMar>
            <w:top w:w="0" w:type="dxa"/>
            <w:left w:w="108" w:type="dxa"/>
            <w:bottom w:w="0" w:type="dxa"/>
            <w:right w:w="108" w:type="dxa"/>
          </w:tblCellMar>
        </w:tblPrEx>
        <w:trPr>
          <w:trHeight w:val="308" w:hRule="atLeast"/>
        </w:trPr>
        <w:tc>
          <w:tcPr>
            <w:tcW w:w="9364"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4.本表以“万元”为金额单位（保留两位小数）。</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财政拨款收入支出决算表</w:t>
      </w:r>
    </w:p>
    <w:tbl>
      <w:tblPr>
        <w:tblStyle w:val="5"/>
        <w:tblW w:w="9523" w:type="dxa"/>
        <w:tblInd w:w="93" w:type="dxa"/>
        <w:tblLayout w:type="fixed"/>
        <w:tblCellMar>
          <w:top w:w="0" w:type="dxa"/>
          <w:left w:w="108" w:type="dxa"/>
          <w:bottom w:w="0" w:type="dxa"/>
          <w:right w:w="108" w:type="dxa"/>
        </w:tblCellMar>
      </w:tblPr>
      <w:tblGrid>
        <w:gridCol w:w="2280"/>
        <w:gridCol w:w="390"/>
        <w:gridCol w:w="1176"/>
        <w:gridCol w:w="2365"/>
        <w:gridCol w:w="376"/>
        <w:gridCol w:w="1176"/>
        <w:gridCol w:w="1224"/>
        <w:gridCol w:w="536"/>
      </w:tblGrid>
      <w:tr>
        <w:tblPrEx>
          <w:tblLayout w:type="fixed"/>
          <w:tblCellMar>
            <w:top w:w="0" w:type="dxa"/>
            <w:left w:w="108" w:type="dxa"/>
            <w:bottom w:w="0" w:type="dxa"/>
            <w:right w:w="108" w:type="dxa"/>
          </w:tblCellMar>
        </w:tblPrEx>
        <w:trPr>
          <w:trHeight w:val="308" w:hRule="atLeast"/>
        </w:trPr>
        <w:tc>
          <w:tcPr>
            <w:tcW w:w="384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收     入</w:t>
            </w:r>
          </w:p>
        </w:tc>
        <w:tc>
          <w:tcPr>
            <w:tcW w:w="5677"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支     出</w:t>
            </w:r>
          </w:p>
        </w:tc>
      </w:tr>
      <w:tr>
        <w:tblPrEx>
          <w:tblLayout w:type="fixed"/>
          <w:tblCellMar>
            <w:top w:w="0" w:type="dxa"/>
            <w:left w:w="108" w:type="dxa"/>
            <w:bottom w:w="0" w:type="dxa"/>
            <w:right w:w="108" w:type="dxa"/>
          </w:tblCellMar>
        </w:tblPrEx>
        <w:trPr>
          <w:trHeight w:val="312" w:hRule="atLeast"/>
        </w:trPr>
        <w:tc>
          <w:tcPr>
            <w:tcW w:w="228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3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1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236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1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22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一般公共预算财政拨款</w:t>
            </w:r>
          </w:p>
        </w:tc>
        <w:tc>
          <w:tcPr>
            <w:tcW w:w="5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615" w:hRule="atLeast"/>
        </w:trPr>
        <w:tc>
          <w:tcPr>
            <w:tcW w:w="2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9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23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236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22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5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一、一般公共预算财政拨款</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406.20</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354.85</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354.85</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二、政府性基金预算财政拨款</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25.63</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25.63</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10.4</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10.4</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15.33</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15.33</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51</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52</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53</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本年收入合计</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406.20</w:t>
            </w:r>
          </w:p>
        </w:tc>
        <w:tc>
          <w:tcPr>
            <w:tcW w:w="236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406.20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406.20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55</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年初财政拨款结转和结余</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56</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一般公共预算财政拨款</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57</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政府性基金预算财政拨款</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58</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36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59</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2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lang w:val="en-US" w:eastAsia="zh-CN"/>
              </w:rPr>
              <w:t>406.20</w:t>
            </w:r>
          </w:p>
        </w:tc>
        <w:tc>
          <w:tcPr>
            <w:tcW w:w="236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3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60</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lang w:val="en-US" w:eastAsia="zh-CN"/>
              </w:rPr>
              <w:t>406.20</w:t>
            </w:r>
          </w:p>
        </w:tc>
        <w:tc>
          <w:tcPr>
            <w:tcW w:w="12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lang w:val="en-US" w:eastAsia="zh-CN"/>
              </w:rPr>
              <w:t>406.20</w:t>
            </w:r>
          </w:p>
        </w:tc>
        <w:tc>
          <w:tcPr>
            <w:tcW w:w="5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9523" w:type="dxa"/>
            <w:gridSpan w:val="8"/>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注：1.本表依据《财政拨款收入支出决算总表》（财决01-1表）进行批复。</w:t>
            </w:r>
          </w:p>
        </w:tc>
      </w:tr>
      <w:tr>
        <w:tblPrEx>
          <w:tblLayout w:type="fixed"/>
        </w:tblPrEx>
        <w:trPr>
          <w:trHeight w:val="308" w:hRule="atLeast"/>
        </w:trPr>
        <w:tc>
          <w:tcPr>
            <w:tcW w:w="9523" w:type="dxa"/>
            <w:gridSpan w:val="8"/>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2.本表以“万元”为金额单位（保留两位小数）。</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一般公共预算财政拨款收入支出决算表</w:t>
      </w:r>
    </w:p>
    <w:tbl>
      <w:tblPr>
        <w:tblStyle w:val="5"/>
        <w:tblW w:w="9167" w:type="dxa"/>
        <w:tblInd w:w="93" w:type="dxa"/>
        <w:tblLayout w:type="fixed"/>
        <w:tblCellMar>
          <w:top w:w="0" w:type="dxa"/>
          <w:left w:w="108" w:type="dxa"/>
          <w:bottom w:w="0" w:type="dxa"/>
          <w:right w:w="108" w:type="dxa"/>
        </w:tblCellMar>
      </w:tblPr>
      <w:tblGrid>
        <w:gridCol w:w="376"/>
        <w:gridCol w:w="376"/>
        <w:gridCol w:w="376"/>
        <w:gridCol w:w="3230"/>
        <w:gridCol w:w="539"/>
        <w:gridCol w:w="566"/>
        <w:gridCol w:w="539"/>
        <w:gridCol w:w="1321"/>
        <w:gridCol w:w="1305"/>
        <w:gridCol w:w="539"/>
      </w:tblGrid>
      <w:tr>
        <w:tblPrEx>
          <w:tblLayout w:type="fixed"/>
          <w:tblCellMar>
            <w:top w:w="0" w:type="dxa"/>
            <w:left w:w="108" w:type="dxa"/>
            <w:bottom w:w="0" w:type="dxa"/>
            <w:right w:w="108" w:type="dxa"/>
          </w:tblCellMar>
        </w:tblPrEx>
        <w:trPr>
          <w:trHeight w:val="308"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2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64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316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w:t>
            </w: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5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基本支出结转</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项目支出结转和结余</w:t>
            </w:r>
          </w:p>
        </w:tc>
        <w:tc>
          <w:tcPr>
            <w:tcW w:w="132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30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2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615"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2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3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w:t>
            </w:r>
          </w:p>
        </w:tc>
        <w:tc>
          <w:tcPr>
            <w:tcW w:w="3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56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3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30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tblPrEx>
          <w:tblLayout w:type="fixed"/>
        </w:tblPrEx>
        <w:trPr>
          <w:trHeight w:val="308" w:hRule="atLeast"/>
        </w:trPr>
        <w:tc>
          <w:tcPr>
            <w:tcW w:w="3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4"/>
                <w:szCs w:val="14"/>
                <w:lang w:val="en-US" w:eastAsia="zh-CN"/>
              </w:rPr>
              <w:t>406.20</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4"/>
                <w:szCs w:val="14"/>
                <w:lang w:val="en-US" w:eastAsia="zh-CN"/>
              </w:rPr>
              <w:t>406.20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党委办公厅（室）及相关机构事务</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一般行政管理事务</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2013150</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事业运行</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2013199</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其他党委办公厅（室）及相关机构事务支出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财政对其他社会保险基金的补助★</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财政对失业保险基金的补助★</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财政对工伤保险基金的补助★</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2082703</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财政对生育保险基金的补助★</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医疗卫生与计划生育支出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3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9167" w:type="dxa"/>
            <w:gridSpan w:val="10"/>
            <w:tcBorders>
              <w:top w:val="single" w:color="000000" w:sz="4" w:space="0"/>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注：1.本表依据《一般公共预算财政拨款收入支出决算表》（财决07表）进行批复。</w:t>
            </w:r>
          </w:p>
        </w:tc>
      </w:tr>
      <w:tr>
        <w:tblPrEx>
          <w:tblLayout w:type="fixed"/>
          <w:tblCellMar>
            <w:top w:w="0" w:type="dxa"/>
            <w:left w:w="108" w:type="dxa"/>
            <w:bottom w:w="0" w:type="dxa"/>
            <w:right w:w="108" w:type="dxa"/>
          </w:tblCellMar>
        </w:tblPrEx>
        <w:trPr>
          <w:trHeight w:val="308" w:hRule="atLeast"/>
        </w:trPr>
        <w:tc>
          <w:tcPr>
            <w:tcW w:w="9167"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2.本表批复到项级科目。</w:t>
            </w:r>
          </w:p>
        </w:tc>
      </w:tr>
      <w:tr>
        <w:tblPrEx>
          <w:tblLayout w:type="fixed"/>
          <w:tblCellMar>
            <w:top w:w="0" w:type="dxa"/>
            <w:left w:w="108" w:type="dxa"/>
            <w:bottom w:w="0" w:type="dxa"/>
            <w:right w:w="108" w:type="dxa"/>
          </w:tblCellMar>
        </w:tblPrEx>
        <w:trPr>
          <w:trHeight w:val="308" w:hRule="atLeast"/>
        </w:trPr>
        <w:tc>
          <w:tcPr>
            <w:tcW w:w="9167"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3.本表以“万元”为金额单位（保留两位小数）。</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一般公共预算财政拨款</w:t>
      </w:r>
      <w:bookmarkStart w:id="0" w:name="_GoBack"/>
      <w:bookmarkEnd w:id="0"/>
      <w:r>
        <w:rPr>
          <w:rFonts w:hint="eastAsia" w:ascii="仿宋_GB2312" w:eastAsia="仿宋_GB2312"/>
          <w:sz w:val="30"/>
          <w:szCs w:val="30"/>
        </w:rPr>
        <w:t>支出决算表</w:t>
      </w:r>
    </w:p>
    <w:tbl>
      <w:tblPr>
        <w:tblStyle w:val="5"/>
        <w:tblW w:w="9421" w:type="dxa"/>
        <w:tblInd w:w="93" w:type="dxa"/>
        <w:tblLayout w:type="fixed"/>
        <w:tblCellMar>
          <w:top w:w="0" w:type="dxa"/>
          <w:left w:w="108" w:type="dxa"/>
          <w:bottom w:w="0" w:type="dxa"/>
          <w:right w:w="108" w:type="dxa"/>
        </w:tblCellMar>
      </w:tblPr>
      <w:tblGrid>
        <w:gridCol w:w="376"/>
        <w:gridCol w:w="376"/>
        <w:gridCol w:w="376"/>
        <w:gridCol w:w="3230"/>
        <w:gridCol w:w="1184"/>
        <w:gridCol w:w="1184"/>
        <w:gridCol w:w="539"/>
        <w:gridCol w:w="539"/>
        <w:gridCol w:w="539"/>
        <w:gridCol w:w="539"/>
        <w:gridCol w:w="539"/>
      </w:tblGrid>
      <w:tr>
        <w:tblPrEx>
          <w:tblLayout w:type="fixed"/>
          <w:tblCellMar>
            <w:top w:w="0" w:type="dxa"/>
            <w:left w:w="108" w:type="dxa"/>
            <w:bottom w:w="0" w:type="dxa"/>
            <w:right w:w="108" w:type="dxa"/>
          </w:tblCellMar>
        </w:tblPrEx>
        <w:trPr>
          <w:trHeight w:val="308"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32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2907"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c>
          <w:tcPr>
            <w:tcW w:w="2156" w:type="dxa"/>
            <w:gridSpan w:val="4"/>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r>
      <w:tr>
        <w:tblPrEx>
          <w:tblLayout w:type="fixed"/>
          <w:tblCellMar>
            <w:top w:w="0" w:type="dxa"/>
            <w:left w:w="108" w:type="dxa"/>
            <w:bottom w:w="0" w:type="dxa"/>
            <w:right w:w="108" w:type="dxa"/>
          </w:tblCellMar>
        </w:tblPrEx>
        <w:trPr>
          <w:trHeight w:val="308"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8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18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基本支出结转</w:t>
            </w:r>
          </w:p>
        </w:tc>
        <w:tc>
          <w:tcPr>
            <w:tcW w:w="1078"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项目支出结转和结余</w:t>
            </w:r>
          </w:p>
        </w:tc>
      </w:tr>
      <w:tr>
        <w:tblPrEx>
          <w:tblLayout w:type="fixed"/>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项目支出结转</w:t>
            </w:r>
          </w:p>
        </w:tc>
        <w:tc>
          <w:tcPr>
            <w:tcW w:w="5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项目支出结余</w:t>
            </w:r>
          </w:p>
        </w:tc>
      </w:tr>
      <w:tr>
        <w:tblPrEx>
          <w:tblLayout w:type="fixed"/>
          <w:tblCellMar>
            <w:top w:w="0" w:type="dxa"/>
            <w:left w:w="108" w:type="dxa"/>
            <w:bottom w:w="0" w:type="dxa"/>
            <w:right w:w="108" w:type="dxa"/>
          </w:tblCellMar>
        </w:tblPrEx>
        <w:trPr>
          <w:trHeight w:val="615"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11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5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w:t>
            </w:r>
          </w:p>
        </w:tc>
        <w:tc>
          <w:tcPr>
            <w:tcW w:w="3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18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118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5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r>
      <w:tr>
        <w:tblPrEx>
          <w:tblLayout w:type="fixed"/>
        </w:tblPrEx>
        <w:trPr>
          <w:trHeight w:val="308" w:hRule="atLeast"/>
        </w:trPr>
        <w:tc>
          <w:tcPr>
            <w:tcW w:w="3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6"/>
                <w:szCs w:val="16"/>
              </w:rPr>
            </w:pPr>
          </w:p>
        </w:tc>
        <w:tc>
          <w:tcPr>
            <w:tcW w:w="3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4"/>
                <w:szCs w:val="14"/>
                <w:lang w:val="en-US" w:eastAsia="zh-CN"/>
              </w:rPr>
              <w:t>406.20</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4"/>
                <w:szCs w:val="14"/>
                <w:lang w:val="en-US" w:eastAsia="zh-CN"/>
              </w:rPr>
              <w:t>406.20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党委办公厅（室）及相关机构事务</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354.85</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19.41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一般行政管理事务</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79.18</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2013150</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事业运行</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66.26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2013199</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其他党委办公厅（室）及相关机构事务支出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90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25</w:t>
            </w:r>
            <w:r>
              <w:rPr>
                <w:rFonts w:hint="eastAsia" w:ascii="宋体" w:hAnsi="宋体" w:eastAsia="宋体" w:cs="Arial"/>
                <w:color w:val="000000"/>
                <w:kern w:val="0"/>
                <w:sz w:val="14"/>
                <w:szCs w:val="14"/>
                <w:lang w:val="en-US" w:eastAsia="zh-CN"/>
              </w:rPr>
              <w:t>.63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23</w:t>
            </w:r>
            <w:r>
              <w:rPr>
                <w:rFonts w:hint="eastAsia" w:ascii="宋体" w:hAnsi="宋体" w:eastAsia="宋体" w:cs="Arial"/>
                <w:color w:val="000000"/>
                <w:kern w:val="0"/>
                <w:sz w:val="14"/>
                <w:szCs w:val="14"/>
                <w:lang w:val="en-US" w:eastAsia="zh-CN"/>
              </w:rPr>
              <w:t>.97</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财政对其他社会保险基金的补助★</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.66</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财政对失业保险基金的补助★</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w:t>
            </w:r>
            <w:r>
              <w:rPr>
                <w:rFonts w:hint="eastAsia" w:ascii="宋体" w:hAnsi="宋体" w:eastAsia="宋体" w:cs="Arial"/>
                <w:color w:val="000000"/>
                <w:kern w:val="0"/>
                <w:sz w:val="14"/>
                <w:szCs w:val="14"/>
                <w:lang w:val="en-US" w:eastAsia="zh-CN"/>
              </w:rPr>
              <w:t>.01</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财政对工伤保险基金的补助★</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0.23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2082703</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财政对生育保险基金的补助★</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lang w:val="en-US" w:eastAsia="zh-CN"/>
              </w:rPr>
              <w:t>0.42</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医疗卫生与计划生育支出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10</w:t>
            </w:r>
            <w:r>
              <w:rPr>
                <w:rFonts w:hint="eastAsia" w:ascii="宋体" w:hAnsi="宋体" w:eastAsia="宋体" w:cs="Arial"/>
                <w:color w:val="000000"/>
                <w:kern w:val="0"/>
                <w:sz w:val="14"/>
                <w:szCs w:val="14"/>
                <w:lang w:val="en-US" w:eastAsia="zh-CN"/>
              </w:rPr>
              <w:t>.4</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2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4"/>
                <w:szCs w:val="14"/>
              </w:rPr>
              <w:t>15</w:t>
            </w:r>
            <w:r>
              <w:rPr>
                <w:rFonts w:hint="eastAsia" w:ascii="宋体" w:hAnsi="宋体" w:eastAsia="宋体" w:cs="Arial"/>
                <w:color w:val="000000"/>
                <w:kern w:val="0"/>
                <w:sz w:val="14"/>
                <w:szCs w:val="14"/>
                <w:lang w:val="en-US" w:eastAsia="zh-CN"/>
              </w:rPr>
              <w:t>.33</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3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9421" w:type="dxa"/>
            <w:gridSpan w:val="11"/>
            <w:tcBorders>
              <w:top w:val="single" w:color="000000" w:sz="4" w:space="0"/>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注：1.本表依据《一般公共预算财政拨款收入支出决算表》（财决07表）进行批复。</w:t>
            </w:r>
          </w:p>
        </w:tc>
      </w:tr>
      <w:tr>
        <w:tblPrEx>
          <w:tblLayout w:type="fixed"/>
        </w:tblPrEx>
        <w:trPr>
          <w:trHeight w:val="308" w:hRule="atLeast"/>
        </w:trPr>
        <w:tc>
          <w:tcPr>
            <w:tcW w:w="9421"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2.本表批复到项级科目。</w:t>
            </w:r>
          </w:p>
        </w:tc>
      </w:tr>
      <w:tr>
        <w:tblPrEx>
          <w:tblLayout w:type="fixed"/>
          <w:tblCellMar>
            <w:top w:w="0" w:type="dxa"/>
            <w:left w:w="108" w:type="dxa"/>
            <w:bottom w:w="0" w:type="dxa"/>
            <w:right w:w="108" w:type="dxa"/>
          </w:tblCellMar>
        </w:tblPrEx>
        <w:trPr>
          <w:trHeight w:val="308" w:hRule="atLeast"/>
        </w:trPr>
        <w:tc>
          <w:tcPr>
            <w:tcW w:w="9421" w:type="dxa"/>
            <w:gridSpan w:val="1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3.本表以“万元”为金额单位（保留两位小数）。</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一般公共预算财政拨款基本支出决算表</w:t>
      </w:r>
    </w:p>
    <w:tbl>
      <w:tblPr>
        <w:tblStyle w:val="5"/>
        <w:tblW w:w="8877" w:type="dxa"/>
        <w:tblInd w:w="93" w:type="dxa"/>
        <w:tblLayout w:type="fixed"/>
        <w:tblCellMar>
          <w:top w:w="0" w:type="dxa"/>
          <w:left w:w="108" w:type="dxa"/>
          <w:bottom w:w="0" w:type="dxa"/>
          <w:right w:w="108" w:type="dxa"/>
        </w:tblCellMar>
      </w:tblPr>
      <w:tblGrid>
        <w:gridCol w:w="516"/>
        <w:gridCol w:w="1314"/>
        <w:gridCol w:w="1176"/>
        <w:gridCol w:w="516"/>
        <w:gridCol w:w="870"/>
        <w:gridCol w:w="1176"/>
        <w:gridCol w:w="731"/>
        <w:gridCol w:w="1035"/>
        <w:gridCol w:w="1543"/>
      </w:tblGrid>
      <w:tr>
        <w:tblPrEx>
          <w:tblLayout w:type="fixed"/>
          <w:tblCellMar>
            <w:top w:w="0" w:type="dxa"/>
            <w:left w:w="108" w:type="dxa"/>
            <w:bottom w:w="0" w:type="dxa"/>
            <w:right w:w="108" w:type="dxa"/>
          </w:tblCellMar>
        </w:tblPrEx>
        <w:trPr>
          <w:trHeight w:val="308" w:hRule="atLeast"/>
        </w:trPr>
        <w:tc>
          <w:tcPr>
            <w:tcW w:w="300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5871"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Layout w:type="fixed"/>
          <w:tblCellMar>
            <w:top w:w="0" w:type="dxa"/>
            <w:left w:w="108" w:type="dxa"/>
            <w:bottom w:w="0" w:type="dxa"/>
            <w:right w:w="108" w:type="dxa"/>
          </w:tblCellMar>
        </w:tblPrEx>
        <w:trPr>
          <w:trHeight w:val="312" w:hRule="atLeast"/>
        </w:trPr>
        <w:tc>
          <w:tcPr>
            <w:tcW w:w="5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科目编码</w:t>
            </w:r>
          </w:p>
        </w:tc>
        <w:tc>
          <w:tcPr>
            <w:tcW w:w="131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科目名称</w:t>
            </w:r>
          </w:p>
        </w:tc>
        <w:tc>
          <w:tcPr>
            <w:tcW w:w="11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金额</w:t>
            </w:r>
          </w:p>
        </w:tc>
        <w:tc>
          <w:tcPr>
            <w:tcW w:w="5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科目编码</w:t>
            </w:r>
          </w:p>
        </w:tc>
        <w:tc>
          <w:tcPr>
            <w:tcW w:w="8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科目名称</w:t>
            </w:r>
          </w:p>
        </w:tc>
        <w:tc>
          <w:tcPr>
            <w:tcW w:w="11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金额</w:t>
            </w:r>
          </w:p>
        </w:tc>
        <w:tc>
          <w:tcPr>
            <w:tcW w:w="73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科目编码</w:t>
            </w:r>
          </w:p>
        </w:tc>
        <w:tc>
          <w:tcPr>
            <w:tcW w:w="103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科目名称</w:t>
            </w:r>
          </w:p>
        </w:tc>
        <w:tc>
          <w:tcPr>
            <w:tcW w:w="154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2"/>
                <w:szCs w:val="12"/>
              </w:rPr>
            </w:pPr>
            <w:r>
              <w:rPr>
                <w:rFonts w:hint="eastAsia" w:ascii="宋体" w:hAnsi="宋体" w:eastAsia="宋体" w:cs="Arial"/>
                <w:color w:val="000000"/>
                <w:kern w:val="0"/>
                <w:sz w:val="12"/>
                <w:szCs w:val="12"/>
              </w:rPr>
              <w:t>金额</w:t>
            </w:r>
          </w:p>
        </w:tc>
      </w:tr>
      <w:tr>
        <w:tblPrEx>
          <w:tblLayout w:type="fixed"/>
          <w:tblCellMar>
            <w:top w:w="0" w:type="dxa"/>
            <w:left w:w="108" w:type="dxa"/>
            <w:bottom w:w="0" w:type="dxa"/>
            <w:right w:w="108" w:type="dxa"/>
          </w:tblCellMar>
        </w:tblPrEx>
        <w:trPr>
          <w:trHeight w:val="312" w:hRule="atLeast"/>
        </w:trPr>
        <w:tc>
          <w:tcPr>
            <w:tcW w:w="5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5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8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11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7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103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c>
          <w:tcPr>
            <w:tcW w:w="15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2"/>
                <w:szCs w:val="12"/>
              </w:rPr>
            </w:pP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工资福利支出</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214.87</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商品和服务支出</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176</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其他资本性支出</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30101</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基本工资</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69.96</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30201</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办公费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6"/>
                <w:szCs w:val="16"/>
                <w:lang w:eastAsia="zh-CN"/>
              </w:rPr>
            </w:pPr>
            <w:r>
              <w:rPr>
                <w:rFonts w:hint="eastAsia" w:ascii="宋体" w:hAnsi="宋体" w:eastAsia="宋体" w:cs="Arial"/>
                <w:color w:val="000000"/>
                <w:kern w:val="0"/>
                <w:sz w:val="16"/>
                <w:szCs w:val="16"/>
                <w:lang w:val="en-US" w:eastAsia="zh-CN"/>
              </w:rPr>
              <w:t>6</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31001</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房屋建筑物购建</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30102</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津贴补贴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100.24</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30202</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印刷费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31002</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办公设备购置</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30103</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奖金</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30203</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咨询费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31003</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专用设备购置</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30104</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其他社会保障缴费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12.05</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30204</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手续费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31005</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基础设施建设</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30106</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伙食补助费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30205</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水费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31006</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大型修缮</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30107</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绩效工资</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8.65</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30206</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电费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5.6</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31007</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信息网络及软</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件购置更新</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30108</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机关事业单位基</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本养老保险缴费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23.97</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30207</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邮电费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31008</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物资储备</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30109</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职业年金缴费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30208</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取暖费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31009</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土地补偿</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30199</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其他工资福利支出</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30209</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物业管理费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31010</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安置补助</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对个人和家庭的补助</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15.33</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30211</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差旅费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6.51</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31011</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地上附着物</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和青苗补偿</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30301</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离休费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30212</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因公出国</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（境）费用</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31012</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拆迁补偿</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30302</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退休费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30213</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维修(护)费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90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31013</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公务用车购置</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30303</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退职（役）费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30214</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租赁费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31019</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其他交通</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工具购置</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30304</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抚恤金</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30215</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会议费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31020</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产权参股</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30305</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生活补助</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30216</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培训费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34</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31099</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其他资本性支出</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30306</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救济费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30217</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公务接待费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1.19</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304</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对企事业单</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位的补贴</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30307</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医疗费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30218</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专用材料费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30401</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企业政策性补贴</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30308</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助学金</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30224</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被装购置费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30402</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事业单位补贴</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30309</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奖励金</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30225</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专用燃料费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30403</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财政贴息</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30310</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生产补贴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30226</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劳务费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30499</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其他对企事业</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单位的补贴</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30311</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住房公积金</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15.33</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30227</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委托业务费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债务利息支出</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30312</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提租补贴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30228</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工会经费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2.7</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30701</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国内债务付息</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30313</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购房补贴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30229</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福利费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30707</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国外债务付息</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30314</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采暖补贴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30231</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公务用车</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运行维护费</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其他支出</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30315</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物业服务补贴</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30239</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其他交通费用</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39906</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赠与</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30399</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其他对个人和家</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庭的补助支出</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30240</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税金及</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附加费用</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　</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1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1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30299</w:t>
            </w:r>
          </w:p>
        </w:tc>
        <w:tc>
          <w:tcPr>
            <w:tcW w:w="87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其他商品和</w:t>
            </w:r>
            <w:r>
              <w:rPr>
                <w:rFonts w:hint="eastAsia" w:ascii="宋体" w:hAnsi="宋体" w:eastAsia="宋体" w:cs="Arial"/>
                <w:color w:val="000000"/>
                <w:kern w:val="0"/>
                <w:sz w:val="12"/>
                <w:szCs w:val="12"/>
              </w:rPr>
              <w:br w:type="textWrapping"/>
            </w:r>
            <w:r>
              <w:rPr>
                <w:rFonts w:hint="eastAsia" w:ascii="宋体" w:hAnsi="宋体" w:eastAsia="宋体" w:cs="Arial"/>
                <w:color w:val="000000"/>
                <w:kern w:val="0"/>
                <w:sz w:val="12"/>
                <w:szCs w:val="12"/>
              </w:rPr>
              <w:t>服务支出</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30</w:t>
            </w:r>
          </w:p>
        </w:tc>
        <w:tc>
          <w:tcPr>
            <w:tcW w:w="73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35"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12"/>
                <w:szCs w:val="12"/>
              </w:rPr>
            </w:pPr>
            <w:r>
              <w:rPr>
                <w:rFonts w:hint="eastAsia" w:ascii="宋体" w:hAnsi="宋体" w:eastAsia="宋体" w:cs="Arial"/>
                <w:color w:val="000000"/>
                <w:kern w:val="0"/>
                <w:sz w:val="12"/>
                <w:szCs w:val="12"/>
              </w:rPr>
              <w:t>　</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70" w:hRule="atLeast"/>
        </w:trPr>
        <w:tc>
          <w:tcPr>
            <w:tcW w:w="1830"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人员经费合计</w:t>
            </w:r>
          </w:p>
        </w:tc>
        <w:tc>
          <w:tcPr>
            <w:tcW w:w="117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230.20</w:t>
            </w:r>
          </w:p>
        </w:tc>
        <w:tc>
          <w:tcPr>
            <w:tcW w:w="43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公用经费合计</w:t>
            </w:r>
          </w:p>
        </w:tc>
        <w:tc>
          <w:tcPr>
            <w:tcW w:w="154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176</w:t>
            </w:r>
          </w:p>
        </w:tc>
      </w:tr>
    </w:tbl>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政府性基金预算财政拨款收入支出决算表</w:t>
      </w:r>
    </w:p>
    <w:tbl>
      <w:tblPr>
        <w:tblStyle w:val="5"/>
        <w:tblW w:w="9761" w:type="dxa"/>
        <w:tblInd w:w="93" w:type="dxa"/>
        <w:tblLayout w:type="fixed"/>
        <w:tblCellMar>
          <w:top w:w="0" w:type="dxa"/>
          <w:left w:w="108" w:type="dxa"/>
          <w:bottom w:w="0" w:type="dxa"/>
          <w:right w:w="108" w:type="dxa"/>
        </w:tblCellMar>
      </w:tblPr>
      <w:tblGrid>
        <w:gridCol w:w="492"/>
        <w:gridCol w:w="449"/>
        <w:gridCol w:w="449"/>
        <w:gridCol w:w="597"/>
        <w:gridCol w:w="598"/>
        <w:gridCol w:w="598"/>
        <w:gridCol w:w="598"/>
        <w:gridCol w:w="598"/>
        <w:gridCol w:w="598"/>
        <w:gridCol w:w="598"/>
        <w:gridCol w:w="598"/>
        <w:gridCol w:w="598"/>
        <w:gridCol w:w="598"/>
        <w:gridCol w:w="598"/>
        <w:gridCol w:w="598"/>
        <w:gridCol w:w="598"/>
        <w:gridCol w:w="598"/>
      </w:tblGrid>
      <w:tr>
        <w:tblPrEx>
          <w:tblLayout w:type="fixed"/>
          <w:tblCellMar>
            <w:top w:w="0" w:type="dxa"/>
            <w:left w:w="108" w:type="dxa"/>
            <w:bottom w:w="0" w:type="dxa"/>
            <w:right w:w="108" w:type="dxa"/>
          </w:tblCellMar>
        </w:tblPrEx>
        <w:trPr>
          <w:trHeight w:val="308" w:hRule="atLeast"/>
        </w:trPr>
        <w:tc>
          <w:tcPr>
            <w:tcW w:w="13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59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79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79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179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392" w:type="dxa"/>
            <w:gridSpan w:val="4"/>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Layout w:type="fixed"/>
          <w:tblCellMar>
            <w:top w:w="0" w:type="dxa"/>
            <w:left w:w="108" w:type="dxa"/>
            <w:bottom w:w="0" w:type="dxa"/>
            <w:right w:w="108" w:type="dxa"/>
          </w:tblCellMar>
        </w:tblPrEx>
        <w:trPr>
          <w:trHeight w:val="308" w:hRule="atLeast"/>
        </w:trPr>
        <w:tc>
          <w:tcPr>
            <w:tcW w:w="13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119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r>
      <w:tr>
        <w:tblPrEx>
          <w:tblLayout w:type="fixed"/>
        </w:tblPrEx>
        <w:trPr>
          <w:trHeight w:val="312" w:hRule="atLeast"/>
        </w:trPr>
        <w:tc>
          <w:tcPr>
            <w:tcW w:w="13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w:t>
            </w:r>
          </w:p>
        </w:tc>
        <w:tc>
          <w:tcPr>
            <w:tcW w:w="5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项目支出结余</w:t>
            </w:r>
          </w:p>
        </w:tc>
      </w:tr>
      <w:tr>
        <w:tblPrEx>
          <w:tblLayout w:type="fixed"/>
          <w:tblCellMar>
            <w:top w:w="0" w:type="dxa"/>
            <w:left w:w="108" w:type="dxa"/>
            <w:bottom w:w="0" w:type="dxa"/>
            <w:right w:w="108" w:type="dxa"/>
          </w:tblCellMar>
        </w:tblPrEx>
        <w:trPr>
          <w:trHeight w:val="615" w:hRule="atLeast"/>
        </w:trPr>
        <w:tc>
          <w:tcPr>
            <w:tcW w:w="13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9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4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4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59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r>
      <w:tr>
        <w:tblPrEx>
          <w:tblLayout w:type="fixed"/>
        </w:tblPrEx>
        <w:trPr>
          <w:trHeight w:val="308" w:hRule="atLeast"/>
        </w:trPr>
        <w:tc>
          <w:tcPr>
            <w:tcW w:w="4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Layout w:type="fixed"/>
          <w:tblCellMar>
            <w:top w:w="0" w:type="dxa"/>
            <w:left w:w="108" w:type="dxa"/>
            <w:bottom w:w="0" w:type="dxa"/>
            <w:right w:w="108" w:type="dxa"/>
          </w:tblCellMar>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PrEx>
        <w:trPr>
          <w:trHeight w:val="308" w:hRule="atLeast"/>
        </w:trPr>
        <w:tc>
          <w:tcPr>
            <w:tcW w:w="1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9761" w:type="dxa"/>
            <w:gridSpan w:val="1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注：1.本表依据《政府性基金预算财政拨款收入支出决算表》（财决09表）进行批复。</w:t>
            </w:r>
          </w:p>
        </w:tc>
      </w:tr>
      <w:tr>
        <w:tblPrEx>
          <w:tblLayout w:type="fixed"/>
          <w:tblCellMar>
            <w:top w:w="0" w:type="dxa"/>
            <w:left w:w="108" w:type="dxa"/>
            <w:bottom w:w="0" w:type="dxa"/>
            <w:right w:w="108" w:type="dxa"/>
          </w:tblCellMar>
        </w:tblPrEx>
        <w:trPr>
          <w:trHeight w:val="308" w:hRule="atLeast"/>
        </w:trPr>
        <w:tc>
          <w:tcPr>
            <w:tcW w:w="9761" w:type="dxa"/>
            <w:gridSpan w:val="1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2.本表批复到项级科目。</w:t>
            </w:r>
          </w:p>
        </w:tc>
      </w:tr>
      <w:tr>
        <w:tblPrEx>
          <w:tblLayout w:type="fixed"/>
        </w:tblPrEx>
        <w:trPr>
          <w:trHeight w:val="308" w:hRule="atLeast"/>
        </w:trPr>
        <w:tc>
          <w:tcPr>
            <w:tcW w:w="9761" w:type="dxa"/>
            <w:gridSpan w:val="1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3.本表所有数据均为空时，说明本年度无相关收支。</w:t>
            </w:r>
          </w:p>
        </w:tc>
      </w:tr>
      <w:tr>
        <w:tblPrEx>
          <w:tblLayout w:type="fixed"/>
          <w:tblCellMar>
            <w:top w:w="0" w:type="dxa"/>
            <w:left w:w="108" w:type="dxa"/>
            <w:bottom w:w="0" w:type="dxa"/>
            <w:right w:w="108" w:type="dxa"/>
          </w:tblCellMar>
        </w:tblPrEx>
        <w:trPr>
          <w:trHeight w:val="308" w:hRule="atLeast"/>
        </w:trPr>
        <w:tc>
          <w:tcPr>
            <w:tcW w:w="9761" w:type="dxa"/>
            <w:gridSpan w:val="1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4.本表以“万元”为金额单位（保留两位小数）。</w:t>
            </w: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9600" w:type="dxa"/>
              <w:tblInd w:w="0" w:type="dxa"/>
              <w:tblLayout w:type="fixed"/>
              <w:tblCellMar>
                <w:top w:w="0" w:type="dxa"/>
                <w:left w:w="108" w:type="dxa"/>
                <w:bottom w:w="0" w:type="dxa"/>
                <w:right w:w="108" w:type="dxa"/>
              </w:tblCellMar>
            </w:tblPr>
            <w:tblGrid>
              <w:gridCol w:w="680"/>
              <w:gridCol w:w="936"/>
              <w:gridCol w:w="662"/>
              <w:gridCol w:w="938"/>
              <w:gridCol w:w="921"/>
              <w:gridCol w:w="680"/>
              <w:gridCol w:w="680"/>
              <w:gridCol w:w="936"/>
              <w:gridCol w:w="662"/>
              <w:gridCol w:w="869"/>
              <w:gridCol w:w="956"/>
              <w:gridCol w:w="680"/>
            </w:tblGrid>
            <w:tr>
              <w:tblPrEx>
                <w:tblLayout w:type="fixed"/>
                <w:tblCellMar>
                  <w:top w:w="0" w:type="dxa"/>
                  <w:left w:w="108" w:type="dxa"/>
                  <w:bottom w:w="0" w:type="dxa"/>
                  <w:right w:w="108" w:type="dxa"/>
                </w:tblCellMar>
              </w:tblPrEx>
              <w:trPr>
                <w:trHeight w:val="660" w:hRule="atLeast"/>
              </w:trPr>
              <w:tc>
                <w:tcPr>
                  <w:tcW w:w="9600" w:type="dxa"/>
                  <w:gridSpan w:val="12"/>
                  <w:tcBorders>
                    <w:top w:val="nil"/>
                    <w:left w:val="nil"/>
                    <w:bottom w:val="nil"/>
                    <w:right w:val="nil"/>
                  </w:tcBorders>
                  <w:shd w:val="clear" w:color="auto" w:fill="auto"/>
                  <w:vAlign w:val="center"/>
                </w:tcPr>
                <w:p>
                  <w:pPr>
                    <w:widowControl/>
                    <w:jc w:val="center"/>
                    <w:rPr>
                      <w:rFonts w:ascii="黑体" w:hAnsi="黑体" w:eastAsia="黑体" w:cs="宋体"/>
                      <w:kern w:val="0"/>
                      <w:sz w:val="24"/>
                      <w:szCs w:val="24"/>
                    </w:rPr>
                  </w:pPr>
                </w:p>
                <w:p>
                  <w:pPr>
                    <w:widowControl/>
                    <w:jc w:val="center"/>
                    <w:rPr>
                      <w:rFonts w:ascii="黑体" w:hAnsi="黑体" w:eastAsia="黑体" w:cs="宋体"/>
                      <w:kern w:val="0"/>
                      <w:sz w:val="24"/>
                      <w:szCs w:val="24"/>
                    </w:rPr>
                  </w:pPr>
                </w:p>
                <w:p>
                  <w:pPr>
                    <w:widowControl/>
                    <w:jc w:val="center"/>
                    <w:rPr>
                      <w:rFonts w:ascii="黑体" w:hAnsi="黑体" w:eastAsia="黑体" w:cs="宋体"/>
                      <w:kern w:val="0"/>
                      <w:sz w:val="24"/>
                      <w:szCs w:val="24"/>
                    </w:rPr>
                  </w:pPr>
                </w:p>
                <w:p>
                  <w:pPr>
                    <w:widowControl/>
                    <w:jc w:val="center"/>
                    <w:rPr>
                      <w:rFonts w:ascii="黑体" w:hAnsi="黑体" w:eastAsia="黑体" w:cs="宋体"/>
                      <w:kern w:val="0"/>
                      <w:sz w:val="24"/>
                      <w:szCs w:val="24"/>
                    </w:rPr>
                  </w:pPr>
                </w:p>
                <w:p>
                  <w:pPr>
                    <w:widowControl/>
                    <w:jc w:val="center"/>
                    <w:rPr>
                      <w:rFonts w:ascii="黑体" w:hAnsi="黑体" w:eastAsia="黑体" w:cs="宋体"/>
                      <w:kern w:val="0"/>
                      <w:sz w:val="24"/>
                      <w:szCs w:val="24"/>
                    </w:rPr>
                  </w:pPr>
                </w:p>
                <w:p>
                  <w:pPr>
                    <w:widowControl/>
                    <w:jc w:val="center"/>
                    <w:rPr>
                      <w:rFonts w:ascii="黑体" w:hAnsi="黑体" w:eastAsia="黑体" w:cs="宋体"/>
                      <w:kern w:val="0"/>
                      <w:sz w:val="24"/>
                      <w:szCs w:val="24"/>
                    </w:rPr>
                  </w:pPr>
                  <w:r>
                    <w:rPr>
                      <w:rFonts w:hint="eastAsia" w:ascii="黑体" w:hAnsi="黑体" w:eastAsia="黑体" w:cs="宋体"/>
                      <w:kern w:val="0"/>
                      <w:sz w:val="24"/>
                      <w:szCs w:val="24"/>
                    </w:rPr>
                    <w:t>一般公共预算财政拨款“三公”经费支出决算表</w:t>
                  </w:r>
                </w:p>
              </w:tc>
            </w:tr>
            <w:tr>
              <w:tblPrEx>
                <w:tblLayout w:type="fixed"/>
                <w:tblCellMar>
                  <w:top w:w="0" w:type="dxa"/>
                  <w:left w:w="108" w:type="dxa"/>
                  <w:bottom w:w="0" w:type="dxa"/>
                  <w:right w:w="108" w:type="dxa"/>
                </w:tblCellMar>
              </w:tblPrEx>
              <w:trPr>
                <w:trHeight w:val="780" w:hRule="atLeast"/>
              </w:trPr>
              <w:tc>
                <w:tcPr>
                  <w:tcW w:w="9600" w:type="dxa"/>
                  <w:gridSpan w:val="12"/>
                  <w:tcBorders>
                    <w:top w:val="nil"/>
                    <w:left w:val="nil"/>
                    <w:bottom w:val="nil"/>
                    <w:right w:val="nil"/>
                  </w:tcBorders>
                  <w:shd w:val="clear" w:color="auto" w:fill="auto"/>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公开08表</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单位：万元</w:t>
                  </w:r>
                </w:p>
              </w:tc>
            </w:tr>
            <w:tr>
              <w:tblPrEx>
                <w:tblLayout w:type="fixed"/>
                <w:tblCellMar>
                  <w:top w:w="0" w:type="dxa"/>
                  <w:left w:w="108" w:type="dxa"/>
                  <w:bottom w:w="0" w:type="dxa"/>
                  <w:right w:w="108" w:type="dxa"/>
                </w:tblCellMar>
              </w:tblPrEx>
              <w:trPr>
                <w:trHeight w:val="420" w:hRule="atLeast"/>
              </w:trPr>
              <w:tc>
                <w:tcPr>
                  <w:tcW w:w="48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2017年度预算数</w:t>
                  </w:r>
                </w:p>
              </w:tc>
              <w:tc>
                <w:tcPr>
                  <w:tcW w:w="478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2017年度决算数</w:t>
                  </w:r>
                </w:p>
              </w:tc>
            </w:tr>
            <w:tr>
              <w:tblPrEx>
                <w:tblLayout w:type="fixed"/>
                <w:tblCellMar>
                  <w:top w:w="0" w:type="dxa"/>
                  <w:left w:w="108" w:type="dxa"/>
                  <w:bottom w:w="0" w:type="dxa"/>
                  <w:right w:w="108" w:type="dxa"/>
                </w:tblCellMar>
              </w:tblPrEx>
              <w:trPr>
                <w:trHeight w:val="600"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因公出国（境）费</w:t>
                  </w:r>
                </w:p>
              </w:tc>
              <w:tc>
                <w:tcPr>
                  <w:tcW w:w="25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公务用车购置及运行费</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公务接待费</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因公出国（境）费</w:t>
                  </w:r>
                </w:p>
              </w:tc>
              <w:tc>
                <w:tcPr>
                  <w:tcW w:w="248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公务用车购置及运行费</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公务接待费</w:t>
                  </w:r>
                </w:p>
              </w:tc>
            </w:tr>
            <w:tr>
              <w:tblPrEx>
                <w:tblLayout w:type="fixed"/>
                <w:tblCellMar>
                  <w:top w:w="0" w:type="dxa"/>
                  <w:left w:w="108" w:type="dxa"/>
                  <w:bottom w:w="0" w:type="dxa"/>
                  <w:right w:w="108" w:type="dxa"/>
                </w:tblCellMar>
              </w:tblPrEx>
              <w:trPr>
                <w:trHeight w:val="960"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公务用车购置费</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公务用车购置费</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r>
            <w:tr>
              <w:tblPrEx>
                <w:tblLayout w:type="fixed"/>
                <w:tblCellMar>
                  <w:top w:w="0" w:type="dxa"/>
                  <w:left w:w="108" w:type="dxa"/>
                  <w:bottom w:w="0" w:type="dxa"/>
                  <w:right w:w="108" w:type="dxa"/>
                </w:tblCellMar>
              </w:tblPrEx>
              <w:trPr>
                <w:trHeight w:val="78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r>
            <w:tr>
              <w:tblPrEx>
                <w:tblLayout w:type="fixed"/>
                <w:tblCellMar>
                  <w:top w:w="0" w:type="dxa"/>
                  <w:left w:w="108" w:type="dxa"/>
                  <w:bottom w:w="0" w:type="dxa"/>
                  <w:right w:w="108" w:type="dxa"/>
                </w:tblCellMar>
              </w:tblPrEx>
              <w:trPr>
                <w:trHeight w:val="702" w:hRule="atLeast"/>
              </w:trPr>
              <w:tc>
                <w:tcPr>
                  <w:tcW w:w="9600" w:type="dxa"/>
                  <w:gridSpan w:val="1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注：本表反映部门本年度“三公”经费支出预决算情况，其中，2017年度预算数为“三公”经费年初预算数，决算数是包括当年一般公共财政拨款和以前年度结转资金安排的实际支出。</w:t>
                  </w:r>
                </w:p>
              </w:tc>
            </w:tr>
          </w:tbl>
          <w:p>
            <w:pPr>
              <w:widowControl/>
              <w:jc w:val="left"/>
              <w:rPr>
                <w:rFonts w:ascii="宋体" w:hAnsi="宋体" w:eastAsia="宋体" w:cs="Arial"/>
                <w:color w:val="000000"/>
                <w:kern w:val="0"/>
                <w:sz w:val="22"/>
              </w:rPr>
            </w:pP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第二部分</w:t>
      </w:r>
      <w:r>
        <w:rPr>
          <w:rFonts w:hint="eastAsia" w:ascii="仿宋_GB2312"/>
          <w:b/>
          <w:sz w:val="30"/>
          <w:szCs w:val="30"/>
        </w:rPr>
        <w:t>浉</w:t>
      </w:r>
      <w:r>
        <w:rPr>
          <w:rFonts w:hint="eastAsia" w:ascii="仿宋_GB2312" w:eastAsia="仿宋_GB2312"/>
          <w:b/>
          <w:sz w:val="30"/>
          <w:szCs w:val="30"/>
        </w:rPr>
        <w:t>河区委党校决算情况说明</w:t>
      </w:r>
    </w:p>
    <w:p>
      <w:pPr>
        <w:rPr>
          <w:rFonts w:ascii="仿宋_GB2312" w:eastAsia="仿宋_GB2312"/>
          <w:sz w:val="30"/>
          <w:szCs w:val="30"/>
        </w:rPr>
      </w:pPr>
      <w:r>
        <w:rPr>
          <w:rFonts w:hint="eastAsia" w:ascii="仿宋_GB2312" w:eastAsia="仿宋_GB2312"/>
          <w:sz w:val="30"/>
          <w:szCs w:val="30"/>
        </w:rPr>
        <w:t>一、关于收入支出决算总体情况说明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2017年度收入406万元，全部为财政拨款406万元。</w:t>
      </w:r>
    </w:p>
    <w:p>
      <w:pPr>
        <w:ind w:firstLine="600" w:firstLineChars="200"/>
        <w:rPr>
          <w:rFonts w:ascii="仿宋_GB2312" w:eastAsia="仿宋_GB2312"/>
          <w:sz w:val="30"/>
          <w:szCs w:val="30"/>
        </w:rPr>
      </w:pPr>
      <w:r>
        <w:rPr>
          <w:rFonts w:hint="eastAsia" w:ascii="仿宋_GB2312" w:eastAsia="仿宋_GB2312"/>
          <w:sz w:val="30"/>
          <w:szCs w:val="30"/>
        </w:rPr>
        <w:t>2016年支出预算406万元，其中一般公共服务支出355万元 ；社会保障和就业支出51万元。</w:t>
      </w:r>
    </w:p>
    <w:p>
      <w:pPr>
        <w:rPr>
          <w:rFonts w:ascii="仿宋_GB2312" w:eastAsia="仿宋_GB2312"/>
          <w:sz w:val="30"/>
          <w:szCs w:val="30"/>
        </w:rPr>
      </w:pPr>
      <w:r>
        <w:rPr>
          <w:rFonts w:hint="eastAsia" w:ascii="仿宋_GB2312" w:eastAsia="仿宋_GB2312"/>
          <w:sz w:val="30"/>
          <w:szCs w:val="30"/>
        </w:rPr>
        <w:t>二、关于收入决算情况说明</w:t>
      </w:r>
    </w:p>
    <w:p>
      <w:pPr>
        <w:ind w:firstLine="600" w:firstLineChars="200"/>
        <w:rPr>
          <w:rFonts w:ascii="仿宋_GB2312" w:eastAsia="仿宋_GB2312"/>
          <w:sz w:val="30"/>
          <w:szCs w:val="30"/>
        </w:rPr>
      </w:pPr>
      <w:r>
        <w:rPr>
          <w:rFonts w:hint="eastAsia" w:ascii="仿宋_GB2312" w:eastAsia="仿宋_GB2312"/>
          <w:sz w:val="30"/>
          <w:szCs w:val="30"/>
        </w:rPr>
        <w:t xml:space="preserve">2017年度收入406万元，其中：财政拨款406万元，占100% </w:t>
      </w:r>
    </w:p>
    <w:p>
      <w:pPr>
        <w:rPr>
          <w:rFonts w:ascii="仿宋_GB2312" w:eastAsia="仿宋_GB2312"/>
          <w:sz w:val="30"/>
          <w:szCs w:val="30"/>
        </w:rPr>
      </w:pPr>
      <w:r>
        <w:rPr>
          <w:rFonts w:hint="eastAsia" w:ascii="仿宋_GB2312" w:eastAsia="仿宋_GB2312"/>
          <w:sz w:val="30"/>
          <w:szCs w:val="30"/>
        </w:rPr>
        <w:t>三、关于支出决算情况说明</w:t>
      </w:r>
    </w:p>
    <w:p>
      <w:pPr>
        <w:ind w:firstLine="600" w:firstLineChars="200"/>
        <w:rPr>
          <w:rFonts w:ascii="仿宋_GB2312" w:eastAsia="仿宋_GB2312"/>
          <w:sz w:val="30"/>
          <w:szCs w:val="30"/>
        </w:rPr>
      </w:pPr>
      <w:r>
        <w:rPr>
          <w:rFonts w:hint="eastAsia" w:ascii="仿宋_GB2312" w:eastAsia="仿宋_GB2312"/>
          <w:sz w:val="30"/>
          <w:szCs w:val="30"/>
        </w:rPr>
        <w:t>2017年度支出合计406万元，其中：一般公共服务支出355万元，社会保障和就业支出51万元。</w:t>
      </w:r>
    </w:p>
    <w:p>
      <w:pPr>
        <w:rPr>
          <w:rFonts w:ascii="仿宋_GB2312" w:eastAsia="仿宋_GB2312"/>
          <w:sz w:val="30"/>
          <w:szCs w:val="30"/>
        </w:rPr>
      </w:pPr>
      <w:r>
        <w:rPr>
          <w:rFonts w:hint="eastAsia" w:ascii="仿宋_GB2312" w:eastAsia="仿宋_GB2312"/>
          <w:sz w:val="30"/>
          <w:szCs w:val="30"/>
        </w:rPr>
        <w:t>四、关于财政拨款收入支出决算情况说明</w:t>
      </w:r>
    </w:p>
    <w:p>
      <w:pPr>
        <w:ind w:firstLine="600" w:firstLineChars="200"/>
        <w:rPr>
          <w:rFonts w:ascii="仿宋_GB2312" w:eastAsia="仿宋_GB2312"/>
          <w:sz w:val="30"/>
          <w:szCs w:val="30"/>
        </w:rPr>
      </w:pPr>
      <w:r>
        <w:rPr>
          <w:rFonts w:hint="eastAsia" w:ascii="仿宋_GB2312" w:eastAsia="仿宋_GB2312"/>
          <w:sz w:val="30"/>
          <w:szCs w:val="30"/>
        </w:rPr>
        <w:t>2017年度财政拨款收入406万元，支出406万元，与年初预算数</w:t>
      </w:r>
      <w:r>
        <w:rPr>
          <w:rFonts w:hint="eastAsia" w:ascii="仿宋_GB2312" w:eastAsia="仿宋_GB2312"/>
          <w:b/>
          <w:bCs/>
          <w:sz w:val="30"/>
          <w:szCs w:val="30"/>
        </w:rPr>
        <w:t>持平</w:t>
      </w:r>
      <w:r>
        <w:rPr>
          <w:rFonts w:hint="eastAsia" w:ascii="仿宋_GB2312" w:eastAsia="仿宋_GB2312"/>
          <w:sz w:val="30"/>
          <w:szCs w:val="30"/>
        </w:rPr>
        <w:t>。</w:t>
      </w:r>
    </w:p>
    <w:p>
      <w:pPr>
        <w:rPr>
          <w:rFonts w:ascii="仿宋_GB2312" w:eastAsia="仿宋_GB2312"/>
          <w:sz w:val="30"/>
          <w:szCs w:val="30"/>
        </w:rPr>
      </w:pPr>
      <w:r>
        <w:rPr>
          <w:rFonts w:hint="eastAsia" w:ascii="仿宋_GB2312" w:eastAsia="仿宋_GB2312"/>
          <w:sz w:val="30"/>
          <w:szCs w:val="30"/>
        </w:rPr>
        <w:t>五、关于一般公共预算财政拨款支出决算情况说明</w:t>
      </w:r>
    </w:p>
    <w:p>
      <w:pPr>
        <w:ind w:firstLine="600" w:firstLineChars="200"/>
        <w:rPr>
          <w:rFonts w:ascii="仿宋_GB2312" w:eastAsia="仿宋_GB2312"/>
          <w:sz w:val="30"/>
          <w:szCs w:val="30"/>
        </w:rPr>
      </w:pPr>
      <w:r>
        <w:rPr>
          <w:rFonts w:hint="eastAsia" w:ascii="仿宋_GB2312" w:eastAsia="仿宋_GB2312"/>
          <w:sz w:val="30"/>
          <w:szCs w:val="30"/>
        </w:rPr>
        <w:t>2017年度一般公共预算财政拨款支出406万元，占支出合计的100%。</w:t>
      </w:r>
    </w:p>
    <w:p>
      <w:pPr>
        <w:rPr>
          <w:rFonts w:ascii="仿宋_GB2312" w:eastAsia="仿宋_GB2312"/>
          <w:sz w:val="30"/>
          <w:szCs w:val="30"/>
        </w:rPr>
      </w:pPr>
      <w:r>
        <w:rPr>
          <w:rFonts w:hint="eastAsia" w:ascii="仿宋_GB2312" w:eastAsia="仿宋_GB2312"/>
          <w:sz w:val="30"/>
          <w:szCs w:val="30"/>
        </w:rPr>
        <w:t>六、关于一般公共预算财政拨款基本支出决算情况说明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2017年度一般公共预算财政拨款基本支出406万元，其中：工资福利支出215万元，主要包括：基本工资，津贴补贴；公用经费176万元，主要包括：办公费，印刷费；水电费，劳务费，工会经费等。</w:t>
      </w:r>
    </w:p>
    <w:p>
      <w:pPr>
        <w:rPr>
          <w:rFonts w:ascii="仿宋_GB2312" w:eastAsia="仿宋_GB2312"/>
          <w:sz w:val="30"/>
          <w:szCs w:val="30"/>
        </w:rPr>
      </w:pPr>
      <w:r>
        <w:rPr>
          <w:rFonts w:hint="eastAsia" w:ascii="仿宋_GB2312" w:eastAsia="仿宋_GB2312"/>
          <w:sz w:val="30"/>
          <w:szCs w:val="30"/>
        </w:rPr>
        <w:t>七、“三公”经费预算增减变化原因说明</w:t>
      </w:r>
    </w:p>
    <w:p>
      <w:pPr>
        <w:ind w:firstLine="600" w:firstLineChars="200"/>
        <w:rPr>
          <w:rFonts w:ascii="仿宋_GB2312" w:eastAsia="仿宋_GB2312"/>
          <w:sz w:val="30"/>
          <w:szCs w:val="30"/>
        </w:rPr>
      </w:pPr>
      <w:r>
        <w:rPr>
          <w:rFonts w:hint="eastAsia" w:ascii="仿宋_GB2312" w:eastAsia="仿宋_GB2312"/>
          <w:sz w:val="30"/>
          <w:szCs w:val="30"/>
        </w:rPr>
        <w:t>严格按照上级文件精神和规定要求在上一年的基础上略有减少。单位在2017年没有因公出国费用，没有公务用车，没有公车购置及运行。2017年度公务接待共17批次、68人次。公务接待费用已在政府网站上公开。</w:t>
      </w:r>
    </w:p>
    <w:p>
      <w:pPr>
        <w:rPr>
          <w:rFonts w:ascii="仿宋_GB2312" w:eastAsia="仿宋_GB2312"/>
          <w:sz w:val="30"/>
          <w:szCs w:val="30"/>
        </w:rPr>
      </w:pPr>
      <w:r>
        <w:rPr>
          <w:rFonts w:hint="eastAsia" w:ascii="仿宋_GB2312" w:eastAsia="仿宋_GB2312"/>
          <w:sz w:val="30"/>
          <w:szCs w:val="30"/>
        </w:rPr>
        <w:t>八  关于预算绩效情况说明</w:t>
      </w:r>
    </w:p>
    <w:p>
      <w:pPr>
        <w:rPr>
          <w:rFonts w:ascii="仿宋_GB2312" w:eastAsia="仿宋_GB2312"/>
          <w:sz w:val="30"/>
          <w:szCs w:val="30"/>
        </w:rPr>
      </w:pPr>
      <w:r>
        <w:rPr>
          <w:rFonts w:hint="eastAsia" w:ascii="仿宋_GB2312" w:eastAsia="仿宋_GB2312"/>
          <w:sz w:val="30"/>
          <w:szCs w:val="30"/>
        </w:rPr>
        <w:t xml:space="preserve">  我单位今年无项目</w:t>
      </w:r>
    </w:p>
    <w:p>
      <w:pPr>
        <w:rPr>
          <w:rFonts w:ascii="仿宋_GB2312" w:eastAsia="仿宋_GB2312"/>
          <w:sz w:val="30"/>
          <w:szCs w:val="30"/>
        </w:rPr>
      </w:pPr>
      <w:r>
        <w:rPr>
          <w:rFonts w:hint="eastAsia" w:ascii="仿宋_GB2312" w:eastAsia="仿宋_GB2312"/>
          <w:sz w:val="30"/>
          <w:szCs w:val="30"/>
        </w:rPr>
        <w:t>九、关于政府性基金预算财政拨款支出决算情况说明</w:t>
      </w:r>
    </w:p>
    <w:p>
      <w:pPr>
        <w:rPr>
          <w:rFonts w:ascii="仿宋_GB2312" w:eastAsia="仿宋_GB2312"/>
          <w:sz w:val="30"/>
          <w:szCs w:val="30"/>
        </w:rPr>
      </w:pPr>
      <w:r>
        <w:rPr>
          <w:rFonts w:hint="eastAsia" w:ascii="仿宋_GB2312" w:eastAsia="仿宋_GB2312"/>
          <w:sz w:val="30"/>
          <w:szCs w:val="30"/>
        </w:rPr>
        <w:t xml:space="preserve">   我单位没有政府性基金支出</w:t>
      </w:r>
    </w:p>
    <w:p>
      <w:pPr>
        <w:rPr>
          <w:rFonts w:ascii="仿宋_GB2312" w:eastAsia="仿宋_GB2312"/>
          <w:sz w:val="30"/>
          <w:szCs w:val="30"/>
        </w:rPr>
      </w:pPr>
      <w:r>
        <w:rPr>
          <w:rFonts w:hint="eastAsia" w:ascii="仿宋_GB2312" w:eastAsia="仿宋_GB2312"/>
          <w:sz w:val="30"/>
          <w:szCs w:val="30"/>
        </w:rPr>
        <w:t>十、其他重要事项的情况说明</w:t>
      </w:r>
    </w:p>
    <w:p>
      <w:pPr>
        <w:ind w:firstLine="300" w:firstLineChars="100"/>
        <w:rPr>
          <w:rFonts w:ascii="仿宋_GB2312" w:eastAsia="仿宋_GB2312"/>
          <w:sz w:val="30"/>
          <w:szCs w:val="30"/>
        </w:rPr>
      </w:pPr>
      <w:r>
        <w:rPr>
          <w:rFonts w:hint="eastAsia" w:ascii="仿宋_GB2312" w:eastAsia="仿宋_GB2312"/>
          <w:sz w:val="30"/>
          <w:szCs w:val="30"/>
        </w:rPr>
        <w:t>(一)机关运行经费支出情况说明</w:t>
      </w:r>
    </w:p>
    <w:p>
      <w:pPr>
        <w:ind w:firstLine="600" w:firstLineChars="200"/>
        <w:rPr>
          <w:rFonts w:ascii="仿宋_GB2312" w:eastAsia="仿宋_GB2312"/>
          <w:sz w:val="30"/>
          <w:szCs w:val="30"/>
        </w:rPr>
      </w:pPr>
      <w:r>
        <w:rPr>
          <w:rFonts w:hint="eastAsia" w:ascii="仿宋_GB2312" w:eastAsia="仿宋_GB2312"/>
          <w:sz w:val="30"/>
          <w:szCs w:val="30"/>
        </w:rPr>
        <w:t>2017年度机关运行经费支出176万元，比2016年减少10万元，下降6%。</w:t>
      </w:r>
    </w:p>
    <w:p>
      <w:pPr>
        <w:ind w:firstLine="300" w:firstLineChars="100"/>
        <w:rPr>
          <w:rFonts w:ascii="仿宋_GB2312" w:eastAsia="仿宋_GB2312"/>
          <w:sz w:val="30"/>
          <w:szCs w:val="30"/>
        </w:rPr>
      </w:pPr>
      <w:r>
        <w:rPr>
          <w:rFonts w:hint="eastAsia" w:ascii="仿宋_GB2312" w:eastAsia="仿宋_GB2312"/>
          <w:sz w:val="30"/>
          <w:szCs w:val="30"/>
        </w:rPr>
        <w:t>(二)政府采购安排说明</w:t>
      </w:r>
    </w:p>
    <w:p>
      <w:pPr>
        <w:ind w:firstLine="600" w:firstLineChars="200"/>
        <w:rPr>
          <w:rFonts w:ascii="仿宋_GB2312" w:eastAsia="仿宋_GB2312"/>
          <w:sz w:val="30"/>
          <w:szCs w:val="30"/>
        </w:rPr>
      </w:pPr>
      <w:r>
        <w:rPr>
          <w:rFonts w:hint="eastAsia" w:ascii="仿宋_GB2312" w:eastAsia="仿宋_GB2312"/>
          <w:sz w:val="30"/>
          <w:szCs w:val="30"/>
        </w:rPr>
        <w:t>2017年度政府采购支出总额7.5万元，其中：政府采购货物7.5万元。</w:t>
      </w:r>
    </w:p>
    <w:p>
      <w:pPr>
        <w:ind w:firstLine="300" w:firstLineChars="100"/>
        <w:rPr>
          <w:rFonts w:ascii="仿宋_GB2312" w:eastAsia="仿宋_GB2312"/>
          <w:sz w:val="30"/>
          <w:szCs w:val="30"/>
        </w:rPr>
      </w:pPr>
      <w:r>
        <w:rPr>
          <w:rFonts w:hint="eastAsia" w:ascii="仿宋_GB2312" w:eastAsia="仿宋_GB2312"/>
          <w:sz w:val="30"/>
          <w:szCs w:val="30"/>
        </w:rPr>
        <w:t>(三)关于国有资产占用情况说明</w:t>
      </w:r>
    </w:p>
    <w:p>
      <w:pPr>
        <w:ind w:firstLine="600" w:firstLineChars="200"/>
        <w:rPr>
          <w:rFonts w:ascii="仿宋_GB2312" w:eastAsia="仿宋_GB2312"/>
          <w:sz w:val="30"/>
          <w:szCs w:val="30"/>
        </w:rPr>
      </w:pPr>
      <w:r>
        <w:rPr>
          <w:rFonts w:hint="eastAsia" w:ascii="仿宋_GB2312" w:eastAsia="仿宋_GB2312"/>
          <w:sz w:val="30"/>
          <w:szCs w:val="30"/>
        </w:rPr>
        <w:t>2017年期末，</w:t>
      </w:r>
      <w:r>
        <w:rPr>
          <w:rFonts w:hint="eastAsia" w:ascii="仿宋_GB2312"/>
          <w:sz w:val="30"/>
          <w:szCs w:val="30"/>
        </w:rPr>
        <w:t>浉</w:t>
      </w:r>
      <w:r>
        <w:rPr>
          <w:rFonts w:hint="eastAsia" w:ascii="仿宋_GB2312" w:eastAsia="仿宋_GB2312"/>
          <w:sz w:val="30"/>
          <w:szCs w:val="30"/>
        </w:rPr>
        <w:t>河区委党校没有公务用车，没有价值50万元以上的通用专用设备。</w:t>
      </w:r>
    </w:p>
    <w:p>
      <w:pPr>
        <w:ind w:firstLine="600" w:firstLineChars="200"/>
        <w:rPr>
          <w:rFonts w:ascii="仿宋_GB2312" w:eastAsia="仿宋_GB2312"/>
          <w:sz w:val="30"/>
          <w:szCs w:val="30"/>
        </w:rPr>
      </w:pPr>
      <w:r>
        <w:rPr>
          <w:rFonts w:hint="eastAsia" w:ascii="仿宋_GB2312" w:eastAsia="仿宋_GB2312"/>
          <w:sz w:val="30"/>
          <w:szCs w:val="30"/>
        </w:rPr>
        <w:t>本单位2017年决算已按要求和规定时间在本级政府门户网站公开。</w:t>
      </w: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第三部分、名词解释：</w:t>
      </w:r>
    </w:p>
    <w:p>
      <w:pPr>
        <w:rPr>
          <w:rFonts w:ascii="仿宋_GB2312" w:eastAsia="仿宋_GB2312"/>
          <w:sz w:val="30"/>
          <w:szCs w:val="30"/>
        </w:rPr>
      </w:pPr>
      <w:r>
        <w:rPr>
          <w:rFonts w:hint="eastAsia" w:ascii="仿宋_GB2312" w:eastAsia="仿宋_GB2312"/>
          <w:sz w:val="30"/>
          <w:szCs w:val="30"/>
        </w:rPr>
        <w:t>财政拨款收入：是指省级财政当年拨付的资金。</w:t>
      </w:r>
    </w:p>
    <w:p>
      <w:pPr>
        <w:rPr>
          <w:rFonts w:ascii="仿宋_GB2312" w:eastAsia="仿宋_GB2312"/>
          <w:sz w:val="30"/>
          <w:szCs w:val="30"/>
        </w:rPr>
      </w:pPr>
      <w:r>
        <w:rPr>
          <w:rFonts w:hint="eastAsia" w:ascii="仿宋_GB2312" w:eastAsia="仿宋_GB2312"/>
          <w:b/>
          <w:sz w:val="30"/>
          <w:szCs w:val="30"/>
        </w:rPr>
        <w:t>一、事业收入：</w:t>
      </w:r>
      <w:r>
        <w:rPr>
          <w:rFonts w:hint="eastAsia" w:ascii="仿宋_GB2312" w:eastAsia="仿宋_GB2312"/>
          <w:sz w:val="30"/>
          <w:szCs w:val="30"/>
        </w:rPr>
        <w:t>是指事业单位开展专业业务活动及辅助活动所取得的收入。如：ＸＸ刊物发行收入，ＸＸ协会收取的会费收入等。</w:t>
      </w:r>
    </w:p>
    <w:p>
      <w:pPr>
        <w:rPr>
          <w:rFonts w:ascii="仿宋_GB2312" w:eastAsia="仿宋_GB2312"/>
          <w:sz w:val="30"/>
          <w:szCs w:val="30"/>
        </w:rPr>
      </w:pPr>
      <w:r>
        <w:rPr>
          <w:rFonts w:hint="eastAsia" w:ascii="仿宋_GB2312" w:eastAsia="仿宋_GB2312"/>
          <w:b/>
          <w:sz w:val="30"/>
          <w:szCs w:val="30"/>
        </w:rPr>
        <w:t>二、经营收入：</w:t>
      </w:r>
      <w:r>
        <w:rPr>
          <w:rFonts w:hint="eastAsia" w:ascii="仿宋_GB2312" w:eastAsia="仿宋_GB2312"/>
          <w:sz w:val="30"/>
          <w:szCs w:val="30"/>
        </w:rPr>
        <w:t>指事业单位在专业业务活动及其辅助活动之外开展非独立核算经营活动取得的收入。如：ＸＸ杂志社广告收入等。</w:t>
      </w:r>
    </w:p>
    <w:p>
      <w:pPr>
        <w:rPr>
          <w:rFonts w:ascii="仿宋_GB2312" w:eastAsia="仿宋_GB2312"/>
          <w:sz w:val="30"/>
          <w:szCs w:val="30"/>
        </w:rPr>
      </w:pPr>
      <w:r>
        <w:rPr>
          <w:rFonts w:hint="eastAsia" w:ascii="仿宋_GB2312" w:eastAsia="仿宋_GB2312"/>
          <w:b/>
          <w:sz w:val="30"/>
          <w:szCs w:val="30"/>
        </w:rPr>
        <w:t>三、其他收入：</w:t>
      </w:r>
      <w:r>
        <w:rPr>
          <w:rFonts w:hint="eastAsia" w:ascii="仿宋_GB2312" w:eastAsia="仿宋_GB2312"/>
          <w:sz w:val="30"/>
          <w:szCs w:val="30"/>
        </w:rPr>
        <w:t>指除上述“财政拨款收入”、“事业收入”、“事业单位经营收入”、“经营收入”等以外的收入。主要是按规定动用的售房收入、存款利息收入等。</w:t>
      </w:r>
    </w:p>
    <w:p>
      <w:pPr>
        <w:rPr>
          <w:rFonts w:ascii="仿宋_GB2312" w:eastAsia="仿宋_GB2312"/>
          <w:sz w:val="30"/>
          <w:szCs w:val="30"/>
        </w:rPr>
      </w:pPr>
      <w:r>
        <w:rPr>
          <w:rFonts w:hint="eastAsia" w:ascii="仿宋_GB2312" w:eastAsia="仿宋_GB2312"/>
          <w:b/>
          <w:sz w:val="30"/>
          <w:szCs w:val="30"/>
        </w:rPr>
        <w:t>四、用事业基金弥补收支差额：</w:t>
      </w:r>
      <w:r>
        <w:rPr>
          <w:rFonts w:hint="eastAsia" w:ascii="仿宋_GB2312" w:eastAsia="仿宋_GB2312"/>
          <w:sz w:val="30"/>
          <w:szCs w:val="30"/>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rPr>
          <w:rFonts w:ascii="仿宋_GB2312" w:eastAsia="仿宋_GB2312"/>
          <w:sz w:val="30"/>
          <w:szCs w:val="30"/>
        </w:rPr>
      </w:pPr>
      <w:r>
        <w:rPr>
          <w:rFonts w:hint="eastAsia" w:ascii="仿宋_GB2312" w:eastAsia="仿宋_GB2312"/>
          <w:b/>
          <w:sz w:val="30"/>
          <w:szCs w:val="30"/>
        </w:rPr>
        <w:t>五、年初结转和结余：</w:t>
      </w:r>
      <w:r>
        <w:rPr>
          <w:rFonts w:hint="eastAsia" w:ascii="仿宋_GB2312" w:eastAsia="仿宋_GB2312"/>
          <w:sz w:val="30"/>
          <w:szCs w:val="30"/>
        </w:rPr>
        <w:t>指以前年度尚未完成、结转到本年按有关规定继续使用的资金。</w:t>
      </w:r>
    </w:p>
    <w:p>
      <w:pPr>
        <w:rPr>
          <w:rFonts w:ascii="仿宋_GB2312" w:eastAsia="仿宋_GB2312"/>
          <w:sz w:val="30"/>
          <w:szCs w:val="30"/>
        </w:rPr>
      </w:pPr>
      <w:r>
        <w:rPr>
          <w:rFonts w:hint="eastAsia" w:ascii="仿宋_GB2312" w:eastAsia="仿宋_GB2312"/>
          <w:b/>
          <w:sz w:val="30"/>
          <w:szCs w:val="30"/>
        </w:rPr>
        <w:t>六、一般公共服务（类）财政事务（款）行政运行（项）（请根据单位实际情况，参照《2016年政府收支分类科目》和对口中央部门决算公开信息填写）：</w:t>
      </w:r>
      <w:r>
        <w:rPr>
          <w:rFonts w:hint="eastAsia" w:ascii="仿宋_GB2312" w:eastAsia="仿宋_GB2312"/>
          <w:sz w:val="30"/>
          <w:szCs w:val="30"/>
        </w:rPr>
        <w:t>是指ＸＸ厅（局）用于保障机构正常运行、开展日常工作的基本支出。</w:t>
      </w:r>
    </w:p>
    <w:p>
      <w:pPr>
        <w:rPr>
          <w:rFonts w:ascii="仿宋_GB2312" w:eastAsia="仿宋_GB2312"/>
          <w:sz w:val="30"/>
          <w:szCs w:val="30"/>
        </w:rPr>
      </w:pPr>
      <w:r>
        <w:rPr>
          <w:rFonts w:hint="eastAsia" w:ascii="仿宋_GB2312" w:eastAsia="仿宋_GB2312"/>
          <w:b/>
          <w:sz w:val="30"/>
          <w:szCs w:val="30"/>
        </w:rPr>
        <w:t>七、一般公共服务（类）财政事务（款）一般行政管理事务（项）：</w:t>
      </w:r>
      <w:r>
        <w:rPr>
          <w:rFonts w:hint="eastAsia" w:ascii="仿宋_GB2312" w:eastAsia="仿宋_GB2312"/>
          <w:sz w:val="30"/>
          <w:szCs w:val="30"/>
        </w:rPr>
        <w:t>指ＸＸ厅（局）行政单位及参照公务员法管理的事业单位开展财政立法、决算编审、资产产权管理等未单独设置项级科目的专门性财政管理工作的项目支出。</w:t>
      </w:r>
    </w:p>
    <w:p>
      <w:pPr>
        <w:rPr>
          <w:rFonts w:ascii="仿宋_GB2312" w:eastAsia="仿宋_GB2312"/>
          <w:sz w:val="30"/>
          <w:szCs w:val="30"/>
        </w:rPr>
      </w:pPr>
      <w:r>
        <w:rPr>
          <w:rFonts w:hint="eastAsia" w:ascii="仿宋_GB2312" w:eastAsia="仿宋_GB2312"/>
          <w:sz w:val="30"/>
          <w:szCs w:val="30"/>
        </w:rPr>
        <w:t>八、……</w:t>
      </w:r>
    </w:p>
    <w:p>
      <w:pPr>
        <w:rPr>
          <w:rFonts w:ascii="仿宋_GB2312" w:eastAsia="仿宋_GB2312"/>
          <w:sz w:val="30"/>
          <w:szCs w:val="30"/>
        </w:rPr>
      </w:pPr>
      <w:r>
        <w:rPr>
          <w:rFonts w:hint="eastAsia" w:ascii="仿宋_GB2312" w:eastAsia="仿宋_GB2312"/>
          <w:sz w:val="30"/>
          <w:szCs w:val="30"/>
        </w:rPr>
        <w:t>九、……</w:t>
      </w:r>
    </w:p>
    <w:p>
      <w:pPr>
        <w:rPr>
          <w:rFonts w:ascii="仿宋_GB2312" w:eastAsia="仿宋_GB2312"/>
          <w:sz w:val="30"/>
          <w:szCs w:val="30"/>
        </w:rPr>
      </w:pPr>
      <w:r>
        <w:rPr>
          <w:rFonts w:hint="eastAsia" w:ascii="仿宋_GB2312" w:eastAsia="仿宋_GB2312"/>
          <w:sz w:val="30"/>
          <w:szCs w:val="30"/>
        </w:rPr>
        <w:t>十、……</w:t>
      </w:r>
    </w:p>
    <w:p>
      <w:pPr>
        <w:rPr>
          <w:rFonts w:ascii="仿宋_GB2312" w:eastAsia="仿宋_GB2312"/>
          <w:sz w:val="30"/>
          <w:szCs w:val="30"/>
        </w:rPr>
      </w:pPr>
      <w:r>
        <w:rPr>
          <w:rFonts w:hint="eastAsia" w:ascii="仿宋_GB2312" w:eastAsia="仿宋_GB2312"/>
          <w:b/>
          <w:sz w:val="30"/>
          <w:szCs w:val="30"/>
        </w:rPr>
        <w:t>十一、结余分配：</w:t>
      </w:r>
      <w:r>
        <w:rPr>
          <w:rFonts w:hint="eastAsia" w:ascii="仿宋_GB2312" w:eastAsia="仿宋_GB2312"/>
          <w:sz w:val="30"/>
          <w:szCs w:val="30"/>
        </w:rPr>
        <w:t>指事业单位按规定提取的职工福利基金、事业基金和缴纳的所得税，以及建设单位按规定应交回的基本建设竣工项目结余资金。</w:t>
      </w:r>
    </w:p>
    <w:p>
      <w:pPr>
        <w:rPr>
          <w:rFonts w:ascii="仿宋_GB2312" w:eastAsia="仿宋_GB2312"/>
          <w:sz w:val="30"/>
          <w:szCs w:val="30"/>
        </w:rPr>
      </w:pPr>
      <w:r>
        <w:rPr>
          <w:rFonts w:hint="eastAsia" w:ascii="仿宋_GB2312" w:eastAsia="仿宋_GB2312"/>
          <w:b/>
          <w:sz w:val="30"/>
          <w:szCs w:val="30"/>
        </w:rPr>
        <w:t>十二、年末结转和结余：</w:t>
      </w:r>
      <w:r>
        <w:rPr>
          <w:rFonts w:hint="eastAsia" w:ascii="仿宋_GB2312" w:eastAsia="仿宋_GB2312"/>
          <w:sz w:val="30"/>
          <w:szCs w:val="30"/>
        </w:rPr>
        <w:t>指本年度或以前年度预算安排、因客观条件发生变化无法按原计划实施，需延迟到以后年度按有关规定继续使用的资金。</w:t>
      </w:r>
    </w:p>
    <w:p>
      <w:pPr>
        <w:rPr>
          <w:rFonts w:ascii="仿宋_GB2312" w:eastAsia="仿宋_GB2312"/>
          <w:sz w:val="30"/>
          <w:szCs w:val="30"/>
        </w:rPr>
      </w:pPr>
      <w:r>
        <w:rPr>
          <w:rFonts w:hint="eastAsia" w:ascii="仿宋_GB2312" w:eastAsia="仿宋_GB2312"/>
          <w:b/>
          <w:sz w:val="30"/>
          <w:szCs w:val="30"/>
        </w:rPr>
        <w:t>十三、基本支出：</w:t>
      </w:r>
      <w:r>
        <w:rPr>
          <w:rFonts w:hint="eastAsia" w:ascii="仿宋_GB2312" w:eastAsia="仿宋_GB2312"/>
          <w:sz w:val="30"/>
          <w:szCs w:val="30"/>
        </w:rPr>
        <w:t>指为保障机构正常运转、完成日常工作任务而发生的人员支出和公用支出。</w:t>
      </w:r>
    </w:p>
    <w:p>
      <w:pPr>
        <w:rPr>
          <w:rFonts w:ascii="仿宋_GB2312" w:eastAsia="仿宋_GB2312"/>
          <w:sz w:val="30"/>
          <w:szCs w:val="30"/>
        </w:rPr>
      </w:pPr>
      <w:r>
        <w:rPr>
          <w:rFonts w:hint="eastAsia" w:ascii="仿宋_GB2312" w:eastAsia="仿宋_GB2312"/>
          <w:b/>
          <w:sz w:val="30"/>
          <w:szCs w:val="30"/>
        </w:rPr>
        <w:t>十四、项目支出：</w:t>
      </w:r>
      <w:r>
        <w:rPr>
          <w:rFonts w:hint="eastAsia" w:ascii="仿宋_GB2312" w:eastAsia="仿宋_GB2312"/>
          <w:sz w:val="30"/>
          <w:szCs w:val="30"/>
        </w:rPr>
        <w:t>指在基本支出之外为完成特定行政任务和事业发展目标所发生的支出。</w:t>
      </w:r>
    </w:p>
    <w:p>
      <w:pPr>
        <w:rPr>
          <w:rFonts w:ascii="仿宋_GB2312" w:eastAsia="仿宋_GB2312"/>
          <w:sz w:val="30"/>
          <w:szCs w:val="30"/>
        </w:rPr>
      </w:pPr>
      <w:r>
        <w:rPr>
          <w:rFonts w:hint="eastAsia" w:ascii="仿宋_GB2312" w:eastAsia="仿宋_GB2312"/>
          <w:b/>
          <w:sz w:val="30"/>
          <w:szCs w:val="30"/>
        </w:rPr>
        <w:t>十五、经营支出：</w:t>
      </w:r>
      <w:r>
        <w:rPr>
          <w:rFonts w:hint="eastAsia" w:ascii="仿宋_GB2312" w:eastAsia="仿宋_GB2312"/>
          <w:sz w:val="30"/>
          <w:szCs w:val="30"/>
        </w:rPr>
        <w:t>指事业单位在专业业务活动及其辅助活动之外开展非独立核算经营活动发生的支出。</w:t>
      </w:r>
    </w:p>
    <w:p>
      <w:pPr>
        <w:rPr>
          <w:rFonts w:ascii="仿宋_GB2312" w:eastAsia="仿宋_GB2312"/>
          <w:sz w:val="30"/>
          <w:szCs w:val="30"/>
        </w:rPr>
      </w:pPr>
      <w:r>
        <w:rPr>
          <w:rFonts w:hint="eastAsia" w:ascii="仿宋_GB2312" w:eastAsia="仿宋_GB2312"/>
          <w:b/>
          <w:sz w:val="30"/>
          <w:szCs w:val="30"/>
        </w:rPr>
        <w:t>十六、“三公”经费：</w:t>
      </w:r>
      <w:r>
        <w:rPr>
          <w:rFonts w:hint="eastAsia" w:ascii="仿宋_GB2312" w:eastAsia="仿宋_GB2312"/>
          <w:sz w:val="30"/>
          <w:szCs w:val="30"/>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ascii="仿宋_GB2312" w:eastAsia="仿宋_GB2312"/>
          <w:sz w:val="30"/>
          <w:szCs w:val="30"/>
        </w:rPr>
      </w:pPr>
      <w:r>
        <w:rPr>
          <w:rFonts w:hint="eastAsia" w:ascii="仿宋_GB2312" w:eastAsia="仿宋_GB2312"/>
          <w:b/>
          <w:sz w:val="30"/>
          <w:szCs w:val="30"/>
        </w:rPr>
        <w:t>十七、机关运行经费：</w:t>
      </w:r>
      <w:r>
        <w:rPr>
          <w:rFonts w:hint="eastAsia" w:ascii="仿宋_GB2312" w:eastAsia="仿宋_GB2312"/>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sz w:val="30"/>
          <w:szCs w:val="30"/>
        </w:rPr>
      </w:pP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3235B"/>
    <w:multiLevelType w:val="multilevel"/>
    <w:tmpl w:val="5243235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D88"/>
    <w:rsid w:val="00142FA9"/>
    <w:rsid w:val="00147032"/>
    <w:rsid w:val="00171A63"/>
    <w:rsid w:val="001E2AEE"/>
    <w:rsid w:val="00226672"/>
    <w:rsid w:val="00226944"/>
    <w:rsid w:val="00245A8B"/>
    <w:rsid w:val="002668B3"/>
    <w:rsid w:val="002B2F9D"/>
    <w:rsid w:val="002B56A9"/>
    <w:rsid w:val="003046BF"/>
    <w:rsid w:val="00355E7D"/>
    <w:rsid w:val="003B5FF0"/>
    <w:rsid w:val="003D232A"/>
    <w:rsid w:val="00473860"/>
    <w:rsid w:val="00473B06"/>
    <w:rsid w:val="00483D83"/>
    <w:rsid w:val="00490F6C"/>
    <w:rsid w:val="004A008D"/>
    <w:rsid w:val="004B4624"/>
    <w:rsid w:val="004E598F"/>
    <w:rsid w:val="004E5D88"/>
    <w:rsid w:val="004E79AE"/>
    <w:rsid w:val="005352D8"/>
    <w:rsid w:val="00545784"/>
    <w:rsid w:val="00597E28"/>
    <w:rsid w:val="005D1F6F"/>
    <w:rsid w:val="00624B5F"/>
    <w:rsid w:val="00634B5D"/>
    <w:rsid w:val="006F3FC4"/>
    <w:rsid w:val="006F56CB"/>
    <w:rsid w:val="00720BD0"/>
    <w:rsid w:val="0077660D"/>
    <w:rsid w:val="007D0577"/>
    <w:rsid w:val="007E2856"/>
    <w:rsid w:val="008128C2"/>
    <w:rsid w:val="008344AF"/>
    <w:rsid w:val="00871535"/>
    <w:rsid w:val="008901F5"/>
    <w:rsid w:val="008C479E"/>
    <w:rsid w:val="00906D3C"/>
    <w:rsid w:val="009B1B75"/>
    <w:rsid w:val="009B4BC8"/>
    <w:rsid w:val="009E7C68"/>
    <w:rsid w:val="00A034DE"/>
    <w:rsid w:val="00A06B9B"/>
    <w:rsid w:val="00A65ED7"/>
    <w:rsid w:val="00A80454"/>
    <w:rsid w:val="00A86692"/>
    <w:rsid w:val="00AC6411"/>
    <w:rsid w:val="00B16CD2"/>
    <w:rsid w:val="00B31781"/>
    <w:rsid w:val="00B845A3"/>
    <w:rsid w:val="00B8568A"/>
    <w:rsid w:val="00C20750"/>
    <w:rsid w:val="00C2206E"/>
    <w:rsid w:val="00CC5E39"/>
    <w:rsid w:val="00CF730C"/>
    <w:rsid w:val="00D05027"/>
    <w:rsid w:val="00D42BAA"/>
    <w:rsid w:val="00D57983"/>
    <w:rsid w:val="00D9531A"/>
    <w:rsid w:val="00DB72AE"/>
    <w:rsid w:val="00E00C28"/>
    <w:rsid w:val="00E1431F"/>
    <w:rsid w:val="00E9302D"/>
    <w:rsid w:val="00EA31F4"/>
    <w:rsid w:val="00EA6901"/>
    <w:rsid w:val="00F01693"/>
    <w:rsid w:val="00F3794F"/>
    <w:rsid w:val="00FD5931"/>
    <w:rsid w:val="03627024"/>
    <w:rsid w:val="1E133414"/>
    <w:rsid w:val="206C75F1"/>
    <w:rsid w:val="6321370A"/>
    <w:rsid w:val="73E976FE"/>
    <w:rsid w:val="7E714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15</Pages>
  <Words>2124</Words>
  <Characters>12112</Characters>
  <Lines>100</Lines>
  <Paragraphs>28</Paragraphs>
  <TotalTime>6</TotalTime>
  <ScaleCrop>false</ScaleCrop>
  <LinksUpToDate>false</LinksUpToDate>
  <CharactersWithSpaces>14208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2018-09-29T07:28:00Z</dcterms:created>
  <dc:creator>2017.1-6车补</dc:creator>
  <cp:lastModifiedBy>Administrator</cp:lastModifiedBy>
  <cp:lastPrinted>2009-01-23T12:20:00Z</cp:lastPrinted>
  <dcterms:modified xsi:type="dcterms:W3CDTF">2019-01-24T03:36:10Z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