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rPr>
          <w:rFonts w:ascii="仿宋" w:hAnsi="仿宋" w:eastAsia="仿宋" w:cs="方正小标宋简体"/>
          <w:sz w:val="52"/>
          <w:szCs w:val="52"/>
        </w:rPr>
      </w:pPr>
    </w:p>
    <w:p>
      <w:pPr>
        <w:jc w:val="center"/>
        <w:rPr>
          <w:rFonts w:ascii="仿宋" w:hAnsi="仿宋" w:eastAsia="仿宋" w:cs="??_GB2312"/>
          <w:b/>
          <w:sz w:val="44"/>
          <w:szCs w:val="44"/>
        </w:rPr>
      </w:pPr>
      <w:r>
        <w:rPr>
          <w:rFonts w:hint="eastAsia" w:ascii="仿宋" w:hAnsi="仿宋" w:eastAsia="仿宋" w:cs="隶书"/>
          <w:b/>
          <w:sz w:val="52"/>
          <w:szCs w:val="52"/>
        </w:rPr>
        <w:t>浉河区群工部</w:t>
      </w:r>
    </w:p>
    <w:p>
      <w:pPr>
        <w:jc w:val="center"/>
        <w:rPr>
          <w:rFonts w:ascii="仿宋" w:hAnsi="仿宋" w:eastAsia="仿宋" w:cs="黑体"/>
          <w:b/>
          <w:sz w:val="52"/>
          <w:szCs w:val="52"/>
        </w:rPr>
      </w:pP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201</w:t>
      </w:r>
      <w:r>
        <w:rPr>
          <w:rFonts w:hint="eastAsia" w:ascii="仿宋" w:hAnsi="仿宋" w:eastAsia="仿宋" w:cs="隶书"/>
          <w:b/>
          <w:sz w:val="52"/>
          <w:szCs w:val="52"/>
        </w:rPr>
        <w:t>8年度部门预算公开情况</w:t>
      </w:r>
    </w:p>
    <w:p>
      <w:pPr>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目　　　　　　录</w:t>
      </w:r>
    </w:p>
    <w:p>
      <w:pPr>
        <w:jc w:val="left"/>
        <w:rPr>
          <w:rFonts w:ascii="仿宋_GB2312" w:hAnsi="仿宋_GB2312" w:eastAsia="仿宋_GB2312" w:cs="仿宋_GB2312"/>
          <w:sz w:val="32"/>
          <w:szCs w:val="32"/>
        </w:rPr>
      </w:pP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第一部分　　区群工部概况</w:t>
      </w:r>
    </w:p>
    <w:p>
      <w:pPr>
        <w:numPr>
          <w:ilvl w:val="0"/>
          <w:numId w:val="1"/>
        </w:num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主要职能</w:t>
      </w:r>
    </w:p>
    <w:p>
      <w:pPr>
        <w:numPr>
          <w:ilvl w:val="0"/>
          <w:numId w:val="1"/>
        </w:num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部门预算单位构成</w:t>
      </w: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第二部分　　区群工部2018年度部门预算表</w:t>
      </w: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一、收入支出预算总表</w:t>
      </w: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二、收入预算表</w:t>
      </w: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三、支出预算表</w:t>
      </w: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四、财政拨款收入支出预算总表</w:t>
      </w: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五、一般公共预算支出预算表</w:t>
      </w: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六、一般公共预算财政拨款基本支出预算表</w:t>
      </w: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七、一般公共预算财政拨款“三公”经费支出预算表</w:t>
      </w: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八、政府性基金预算财政拨款收入支出预算表</w:t>
      </w: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第三部分　　区群工部2018年度部门预算情况说明</w:t>
      </w:r>
    </w:p>
    <w:p>
      <w:pPr>
        <w:jc w:val="left"/>
        <w:rPr>
          <w:rFonts w:ascii="仿宋_GB2312" w:hAnsi="仿宋_GB2312" w:eastAsia="仿宋_GB2312" w:cs="仿宋_GB2312"/>
          <w:b/>
          <w:bCs/>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b/>
          <w:bCs/>
          <w:sz w:val="32"/>
          <w:szCs w:val="32"/>
        </w:rPr>
        <w:t>第四部分　　名词解释</w:t>
      </w: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b/>
          <w:sz w:val="48"/>
          <w:szCs w:val="48"/>
        </w:rPr>
        <w:t>第一部分　群工部概况</w:t>
      </w:r>
    </w:p>
    <w:p>
      <w:pPr>
        <w:spacing w:line="360" w:lineRule="auto"/>
        <w:jc w:val="left"/>
        <w:outlineLvl w:val="1"/>
        <w:rPr>
          <w:rFonts w:ascii="仿宋" w:hAnsi="仿宋" w:eastAsia="仿宋" w:cs="黑体"/>
          <w:sz w:val="32"/>
          <w:szCs w:val="32"/>
        </w:rPr>
      </w:pPr>
    </w:p>
    <w:p>
      <w:pPr>
        <w:pStyle w:val="13"/>
        <w:numPr>
          <w:ilvl w:val="0"/>
          <w:numId w:val="2"/>
        </w:numPr>
        <w:ind w:firstLineChars="0"/>
        <w:rPr>
          <w:rFonts w:ascii="仿宋_GB2312" w:hAnsi="仿宋_GB2312" w:eastAsia="仿宋_GB2312" w:cs="仿宋_GB2312"/>
          <w:b/>
          <w:sz w:val="32"/>
          <w:szCs w:val="32"/>
        </w:rPr>
      </w:pPr>
      <w:r>
        <w:rPr>
          <w:rFonts w:hint="eastAsia" w:ascii="仿宋_GB2312" w:hAnsi="仿宋_GB2312" w:eastAsia="仿宋_GB2312" w:cs="仿宋_GB2312"/>
          <w:b/>
          <w:sz w:val="32"/>
          <w:szCs w:val="32"/>
        </w:rPr>
        <w:t>部门基本情况</w:t>
      </w:r>
    </w:p>
    <w:p>
      <w:pPr>
        <w:spacing w:line="480" w:lineRule="auto"/>
        <w:rPr>
          <w:rFonts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(一）部门机构设置、职能</w:t>
      </w:r>
    </w:p>
    <w:p>
      <w:pPr>
        <w:spacing w:line="48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内设综合办公室、协调联络办公室、网上投诉受理和信访信息系统管理办公室、办信与人民建议征集科、督办查办科、复查复核委员会办公室、案管室、规范信访秩序依法处置非正常上访工作领导小组办公室、民生手机短信办公室、群众来访及法律咨询接待服务中心</w:t>
      </w:r>
      <w:r>
        <w:rPr>
          <w:rFonts w:hint="eastAsia" w:ascii="仿宋_GB2312" w:hAnsi="仿宋_GB2312" w:eastAsia="仿宋_GB2312" w:cs="仿宋_GB2312"/>
          <w:sz w:val="32"/>
          <w:szCs w:val="32"/>
          <w:lang w:eastAsia="zh-CN"/>
        </w:rPr>
        <w:t>。</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1、贯彻党的群众路线，集中反映社情民意，维护群众合法权益，化解人民内部矛盾，综合指导全区群众工作。</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2、负责制定全区群众工作、信访工作的有关政策、规定。并组织实施；负责《信访条例》等法规的组织实施；负责信访事项的复查复核工作。</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3、协调政府有关部门对涉及群众利益的政策调整、重大项目建设进行社会稳定风险和信访评估；组织开展矛盾纠纷排查化解工作。</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4、代表区委、区政府受理人民群众来信来访，为来信来访群众提供有关法律、法规和政策咨询服务；协调组织区处级领导干部接待群众来访，组织区直机关干部下访督查信访工作；负责中央、省、市党代会、人代会期间等重要时期的信访稳定工作；负责组织协调驻京驻省信访劝返工作。</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5、承办上级领导机关和区委、区政府领导交办的信访事项，督促检查领导同志批示件的落实情况；协调处理跨乡镇、跨部门的信访事项及群众赴京到省、市上访和突发上访事件；向有关单位交办信访事项，督促检查重要信访事项的处理和落实；负责办理信访案件，审结要结果案件；负责重点疑难信访案件的调查和处理。</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6、代表区委、区政府监督、检查有关群众利益政策的贯彻落实，纠正损害群众利益的行为；对重要信访案件实施个案监督，对违反群众工作纪律，处理群众信访问题不力的责任单位和责任人，提出责任追究建议。</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7、分析研究信访工作形势，组织开展群众工作的调查研究，征集群众建议，及时向区委、区政府提供参考和决策信息，并对重要问题提出意见和建议。</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8、负责群众工作、信访工作执行情况的考核、通报；及时总结推广先进工作经验；指导群众工作基层基础建设；指导信访工作信息化和干部队伍建设。</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9、负责了解全区民声手机短信办理工作情况和动态，分析、研判社情民意，针对民声手机短信办理提出对策和建议；协调有关部门办理跨部门、跨行业、跨地区的民声手机短信；总结交流有关方面办理民声手机短信工作经验，推动相关工作的有效开展；督促检查乡（镇、办事处）和有关部门民声手机短信办理工作，推动落实解决问题的各项措施。</w:t>
      </w:r>
    </w:p>
    <w:p>
      <w:pPr>
        <w:spacing w:line="480" w:lineRule="auto"/>
        <w:rPr>
          <w:rFonts w:ascii="仿宋" w:hAnsi="仿宋" w:eastAsia="仿宋"/>
          <w:sz w:val="32"/>
          <w:szCs w:val="32"/>
        </w:rPr>
      </w:pPr>
      <w:r>
        <w:rPr>
          <w:rFonts w:hint="eastAsia" w:ascii="仿宋_GB2312" w:eastAsia="仿宋_GB2312"/>
          <w:sz w:val="32"/>
          <w:szCs w:val="32"/>
        </w:rPr>
        <w:t>　　10、承办区委、区政府交办的其他事项.</w:t>
      </w:r>
    </w:p>
    <w:p>
      <w:pPr>
        <w:rPr>
          <w:rFonts w:ascii="仿宋_GB2312" w:hAnsi="仿宋_GB2312" w:eastAsia="仿宋_GB2312" w:cs="仿宋_GB2312"/>
          <w:b/>
          <w:bCs/>
          <w:sz w:val="32"/>
          <w:szCs w:val="32"/>
        </w:rPr>
      </w:pPr>
      <w:r>
        <w:rPr>
          <w:rFonts w:hint="eastAsia" w:ascii="仿宋" w:hAnsi="仿宋" w:eastAsia="仿宋"/>
          <w:sz w:val="32"/>
          <w:szCs w:val="32"/>
        </w:rPr>
        <w:t>　</w:t>
      </w:r>
      <w:r>
        <w:rPr>
          <w:rFonts w:hint="eastAsia" w:ascii="仿宋_GB2312" w:hAnsi="仿宋_GB2312" w:eastAsia="仿宋_GB2312" w:cs="仿宋_GB2312"/>
          <w:b/>
          <w:bCs/>
          <w:sz w:val="32"/>
          <w:szCs w:val="32"/>
        </w:rPr>
        <w:t>（二）人员编制基本情况：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1、人员编制数共计35人。其中行政22人，全供事业13人。实有在职人员数30人。其中行政12人，全供事业18人。</w:t>
      </w:r>
    </w:p>
    <w:p>
      <w:pPr>
        <w:spacing w:line="360" w:lineRule="auto"/>
        <w:ind w:left="640"/>
        <w:jc w:val="left"/>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二、部门预算单位构成</w:t>
      </w:r>
    </w:p>
    <w:p>
      <w:pPr>
        <w:spacing w:line="600" w:lineRule="exact"/>
        <w:ind w:firstLine="630"/>
        <w:rPr>
          <w:rFonts w:hint="eastAsia" w:eastAsia="仿宋_GB2312"/>
          <w:color w:val="000000"/>
          <w:sz w:val="32"/>
          <w:szCs w:val="32"/>
          <w:lang w:eastAsia="zh-CN"/>
        </w:rPr>
      </w:pPr>
      <w:r>
        <w:rPr>
          <w:rFonts w:hint="eastAsia" w:eastAsia="仿宋_GB2312"/>
          <w:color w:val="000000"/>
          <w:sz w:val="32"/>
          <w:szCs w:val="32"/>
        </w:rPr>
        <w:t>纳入</w:t>
      </w:r>
      <w:r>
        <w:rPr>
          <w:rFonts w:hint="eastAsia" w:eastAsia="仿宋_GB2312"/>
          <w:color w:val="000000"/>
          <w:sz w:val="32"/>
          <w:szCs w:val="32"/>
          <w:lang w:eastAsia="zh-CN"/>
        </w:rPr>
        <w:t>群工部</w:t>
      </w:r>
      <w:r>
        <w:rPr>
          <w:rFonts w:hint="eastAsia" w:eastAsia="仿宋_GB2312"/>
          <w:color w:val="000000"/>
          <w:sz w:val="32"/>
          <w:szCs w:val="32"/>
        </w:rPr>
        <w:t>2018年度部门预算编制范围包括本级预算和所属单位预算在内的汇总预算</w:t>
      </w:r>
      <w:r>
        <w:rPr>
          <w:rFonts w:hint="eastAsia" w:eastAsia="仿宋_GB2312"/>
          <w:color w:val="000000"/>
          <w:sz w:val="32"/>
          <w:szCs w:val="32"/>
          <w:lang w:eastAsia="zh-CN"/>
        </w:rPr>
        <w:t>。</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pPr>
    </w:p>
    <w:p>
      <w:pPr>
        <w:jc w:val="center"/>
        <w:outlineLvl w:val="0"/>
        <w:rPr>
          <w:rFonts w:ascii="仿宋" w:hAnsi="仿宋" w:eastAsia="仿宋" w:cs="隶书"/>
          <w:b/>
          <w:sz w:val="48"/>
          <w:szCs w:val="48"/>
        </w:rPr>
      </w:pPr>
      <w:r>
        <w:rPr>
          <w:rFonts w:hint="eastAsia" w:ascii="仿宋" w:hAnsi="仿宋" w:eastAsia="仿宋" w:cs="隶书"/>
          <w:b/>
          <w:sz w:val="48"/>
          <w:szCs w:val="48"/>
        </w:rPr>
        <w:t>第二部分</w:t>
      </w:r>
    </w:p>
    <w:p>
      <w:pPr>
        <w:jc w:val="center"/>
        <w:rPr>
          <w:rFonts w:ascii="仿宋" w:hAnsi="仿宋" w:eastAsia="仿宋" w:cs="隶书"/>
          <w:b/>
          <w:sz w:val="48"/>
          <w:szCs w:val="48"/>
        </w:rPr>
        <w:sectPr>
          <w:footerReference r:id="rId7"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b/>
          <w:sz w:val="48"/>
          <w:szCs w:val="48"/>
        </w:rPr>
        <w:t>浉河区群工部</w:t>
      </w:r>
      <w:r>
        <w:rPr>
          <w:rFonts w:ascii="仿宋" w:hAnsi="仿宋" w:eastAsia="仿宋" w:cs="隶书"/>
          <w:b/>
          <w:sz w:val="48"/>
          <w:szCs w:val="48"/>
        </w:rPr>
        <w:t>201</w:t>
      </w:r>
      <w:r>
        <w:rPr>
          <w:rFonts w:hint="eastAsia" w:ascii="仿宋" w:hAnsi="仿宋" w:eastAsia="仿宋" w:cs="隶书"/>
          <w:b/>
          <w:sz w:val="48"/>
          <w:szCs w:val="48"/>
        </w:rPr>
        <w:t>8年度部门预算表</w:t>
      </w:r>
    </w:p>
    <w:tbl>
      <w:tblPr>
        <w:tblStyle w:val="6"/>
        <w:tblW w:w="10320" w:type="dxa"/>
        <w:tblInd w:w="-1051" w:type="dxa"/>
        <w:tblLayout w:type="fixed"/>
        <w:tblCellMar>
          <w:top w:w="15" w:type="dxa"/>
          <w:left w:w="15" w:type="dxa"/>
          <w:bottom w:w="15" w:type="dxa"/>
          <w:right w:w="15" w:type="dxa"/>
        </w:tblCellMar>
      </w:tblPr>
      <w:tblGrid>
        <w:gridCol w:w="2899"/>
        <w:gridCol w:w="353"/>
        <w:gridCol w:w="1963"/>
        <w:gridCol w:w="1849"/>
        <w:gridCol w:w="393"/>
        <w:gridCol w:w="388"/>
        <w:gridCol w:w="405"/>
        <w:gridCol w:w="2070"/>
      </w:tblGrid>
      <w:tr>
        <w:tblPrEx>
          <w:tblLayout w:type="fixed"/>
          <w:tblCellMar>
            <w:top w:w="15" w:type="dxa"/>
            <w:left w:w="15" w:type="dxa"/>
            <w:bottom w:w="15" w:type="dxa"/>
            <w:right w:w="15" w:type="dxa"/>
          </w:tblCellMar>
        </w:tblPrEx>
        <w:trPr>
          <w:trHeight w:val="375" w:hRule="atLeast"/>
        </w:trPr>
        <w:tc>
          <w:tcPr>
            <w:tcW w:w="10320" w:type="dxa"/>
            <w:gridSpan w:val="8"/>
            <w:vAlign w:val="center"/>
          </w:tcPr>
          <w:p>
            <w:pPr>
              <w:widowControl/>
              <w:textAlignment w:val="center"/>
              <w:rPr>
                <w:rFonts w:ascii="仿宋" w:hAnsi="仿宋" w:eastAsia="仿宋" w:cs="黑体"/>
                <w:color w:val="000000"/>
                <w:sz w:val="28"/>
                <w:szCs w:val="28"/>
              </w:rPr>
            </w:pPr>
            <w:r>
              <w:rPr>
                <w:rFonts w:hint="eastAsia" w:ascii="仿宋" w:hAnsi="仿宋" w:eastAsia="仿宋" w:cs="黑体"/>
                <w:b/>
                <w:bCs/>
                <w:color w:val="000000"/>
                <w:kern w:val="0"/>
                <w:sz w:val="28"/>
                <w:szCs w:val="28"/>
              </w:rPr>
              <w:t>　　　　　　　　　　　　　　收入支出预算总表</w:t>
            </w:r>
          </w:p>
        </w:tc>
      </w:tr>
      <w:tr>
        <w:tblPrEx>
          <w:tblLayout w:type="fixed"/>
          <w:tblCellMar>
            <w:top w:w="15" w:type="dxa"/>
            <w:left w:w="15" w:type="dxa"/>
            <w:bottom w:w="15" w:type="dxa"/>
            <w:right w:w="15" w:type="dxa"/>
          </w:tblCellMar>
        </w:tblPrEx>
        <w:trPr>
          <w:trHeight w:val="315" w:hRule="atLeast"/>
        </w:trPr>
        <w:tc>
          <w:tcPr>
            <w:tcW w:w="2899" w:type="dxa"/>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w:t>
            </w: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01</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2899" w:type="dxa"/>
            <w:vAlign w:val="center"/>
          </w:tcPr>
          <w:p>
            <w:pPr>
              <w:rPr>
                <w:rFonts w:ascii="仿宋" w:hAnsi="仿宋" w:eastAsia="仿宋" w:cs="宋体"/>
                <w:color w:val="000000"/>
                <w:sz w:val="16"/>
                <w:szCs w:val="16"/>
              </w:rPr>
            </w:pP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1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5105"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3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一、财政拨款收入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516.89</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hint="eastAsia" w:ascii="仿宋" w:hAnsi="仿宋" w:eastAsia="仿宋" w:cs="宋体"/>
                <w:color w:val="000000"/>
                <w:szCs w:val="21"/>
              </w:rPr>
              <w:t>516.89</w:t>
            </w:r>
          </w:p>
        </w:tc>
      </w:tr>
      <w:tr>
        <w:tblPrEx>
          <w:tblLayout w:type="fixed"/>
          <w:tblCellMar>
            <w:top w:w="15" w:type="dxa"/>
            <w:left w:w="15" w:type="dxa"/>
            <w:bottom w:w="15" w:type="dxa"/>
            <w:right w:w="15" w:type="dxa"/>
          </w:tblCellMar>
        </w:tblPrEx>
        <w:trPr>
          <w:trHeight w:val="9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二、上级补助收入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center"/>
              <w:textAlignment w:val="center"/>
              <w:rPr>
                <w:rFonts w:ascii="仿宋" w:hAnsi="仿宋" w:eastAsia="仿宋" w:cs="宋体"/>
                <w:color w:val="000000"/>
                <w:szCs w:val="21"/>
              </w:rPr>
            </w:pPr>
            <w:r>
              <w:rPr>
                <w:rFonts w:ascii="仿宋" w:hAnsi="仿宋" w:eastAsia="仿宋" w:cs="宋体"/>
                <w:color w:val="000000"/>
                <w:szCs w:val="21"/>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三、事业收入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center"/>
              <w:textAlignment w:val="center"/>
              <w:rPr>
                <w:rFonts w:ascii="仿宋" w:hAnsi="仿宋" w:eastAsia="仿宋" w:cs="宋体"/>
                <w:color w:val="000000"/>
                <w:szCs w:val="21"/>
              </w:rPr>
            </w:pPr>
            <w:r>
              <w:rPr>
                <w:rFonts w:ascii="仿宋" w:hAnsi="仿宋" w:eastAsia="仿宋" w:cs="宋体"/>
                <w:color w:val="000000"/>
                <w:szCs w:val="21"/>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四、经营收入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center"/>
              <w:textAlignment w:val="center"/>
              <w:rPr>
                <w:rFonts w:ascii="仿宋" w:hAnsi="仿宋" w:eastAsia="仿宋" w:cs="宋体"/>
                <w:color w:val="000000"/>
                <w:szCs w:val="21"/>
              </w:rPr>
            </w:pPr>
            <w:r>
              <w:rPr>
                <w:rFonts w:ascii="仿宋" w:hAnsi="仿宋" w:eastAsia="仿宋" w:cs="宋体"/>
                <w:color w:val="000000"/>
                <w:szCs w:val="21"/>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五、附属单位上缴收入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center"/>
              <w:textAlignment w:val="center"/>
              <w:rPr>
                <w:rFonts w:ascii="仿宋" w:hAnsi="仿宋" w:eastAsia="仿宋" w:cs="宋体"/>
                <w:color w:val="000000"/>
                <w:szCs w:val="21"/>
              </w:rPr>
            </w:pPr>
            <w:r>
              <w:rPr>
                <w:rFonts w:ascii="仿宋" w:hAnsi="仿宋" w:eastAsia="仿宋" w:cs="宋体"/>
                <w:color w:val="000000"/>
                <w:szCs w:val="21"/>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六、其他收入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center"/>
              <w:textAlignment w:val="center"/>
              <w:rPr>
                <w:rFonts w:ascii="仿宋" w:hAnsi="仿宋" w:eastAsia="仿宋" w:cs="宋体"/>
                <w:color w:val="000000"/>
                <w:szCs w:val="21"/>
              </w:rPr>
            </w:pPr>
            <w:r>
              <w:rPr>
                <w:rFonts w:ascii="仿宋" w:hAnsi="仿宋" w:eastAsia="仿宋" w:cs="宋体"/>
                <w:color w:val="000000"/>
                <w:szCs w:val="21"/>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211" w:firstLineChars="100"/>
              <w:jc w:val="right"/>
              <w:textAlignment w:val="center"/>
              <w:rPr>
                <w:rFonts w:ascii="仿宋" w:hAnsi="仿宋" w:eastAsia="仿宋" w:cs="宋体"/>
                <w:b/>
                <w:color w:val="000000"/>
                <w:szCs w:val="21"/>
              </w:rPr>
            </w:pPr>
            <w:r>
              <w:rPr>
                <w:rFonts w:hint="eastAsia" w:ascii="仿宋" w:hAnsi="仿宋" w:eastAsia="仿宋" w:cs="宋体"/>
                <w:b/>
                <w:color w:val="000000"/>
                <w:szCs w:val="21"/>
              </w:rPr>
              <w:t>516.89</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Cs w:val="21"/>
              </w:rPr>
            </w:pPr>
            <w:r>
              <w:rPr>
                <w:rFonts w:hint="eastAsia" w:ascii="仿宋" w:hAnsi="仿宋" w:eastAsia="仿宋" w:cs="宋体"/>
                <w:b/>
                <w:color w:val="000000"/>
                <w:szCs w:val="21"/>
              </w:rPr>
              <w:t>516.89</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用事业基金弥补收支差额</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right"/>
              <w:textAlignment w:val="center"/>
              <w:rPr>
                <w:rFonts w:ascii="仿宋" w:hAnsi="仿宋" w:eastAsia="仿宋" w:cs="宋体"/>
                <w:color w:val="000000"/>
                <w:szCs w:val="21"/>
              </w:rPr>
            </w:pPr>
            <w:r>
              <w:rPr>
                <w:rFonts w:ascii="仿宋" w:hAnsi="仿宋" w:eastAsia="仿宋" w:cs="宋体"/>
                <w:color w:val="000000"/>
                <w:szCs w:val="21"/>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结余分配</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hint="eastAsia" w:ascii="仿宋" w:hAnsi="仿宋" w:eastAsia="仿宋" w:cs="宋体"/>
                <w:color w:val="000000"/>
                <w:szCs w:val="21"/>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年初结转和结余</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right"/>
              <w:textAlignment w:val="center"/>
              <w:rPr>
                <w:rFonts w:ascii="仿宋" w:hAnsi="仿宋" w:eastAsia="仿宋" w:cs="宋体"/>
                <w:color w:val="000000"/>
                <w:szCs w:val="21"/>
              </w:rPr>
            </w:pPr>
            <w:r>
              <w:rPr>
                <w:rFonts w:ascii="仿宋" w:hAnsi="仿宋" w:eastAsia="仿宋" w:cs="宋体"/>
                <w:color w:val="000000"/>
                <w:szCs w:val="21"/>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年末结转和结余</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Cs w:val="21"/>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55</w:t>
            </w:r>
          </w:p>
        </w:tc>
        <w:tc>
          <w:tcPr>
            <w:tcW w:w="2070"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5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28</w:t>
            </w:r>
          </w:p>
        </w:tc>
        <w:tc>
          <w:tcPr>
            <w:tcW w:w="1963" w:type="dxa"/>
            <w:tcBorders>
              <w:top w:val="single" w:color="000000" w:sz="4" w:space="0"/>
              <w:left w:val="single" w:color="000000" w:sz="4" w:space="0"/>
              <w:bottom w:val="single" w:color="000000" w:sz="12" w:space="0"/>
              <w:right w:val="single" w:color="000000" w:sz="4" w:space="0"/>
            </w:tcBorders>
            <w:vAlign w:val="center"/>
          </w:tcPr>
          <w:p>
            <w:pPr>
              <w:widowControl/>
              <w:ind w:firstLine="211" w:firstLineChars="100"/>
              <w:jc w:val="right"/>
              <w:textAlignment w:val="center"/>
              <w:rPr>
                <w:rFonts w:ascii="仿宋" w:hAnsi="仿宋" w:eastAsia="仿宋" w:cs="宋体"/>
                <w:b/>
                <w:color w:val="000000"/>
                <w:szCs w:val="21"/>
              </w:rPr>
            </w:pPr>
            <w:r>
              <w:rPr>
                <w:rFonts w:hint="eastAsia" w:ascii="仿宋" w:hAnsi="仿宋" w:eastAsia="仿宋" w:cs="宋体"/>
                <w:b/>
                <w:color w:val="000000"/>
                <w:szCs w:val="21"/>
              </w:rPr>
              <w:t>516.89</w:t>
            </w:r>
          </w:p>
        </w:tc>
        <w:tc>
          <w:tcPr>
            <w:tcW w:w="263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56</w:t>
            </w:r>
          </w:p>
        </w:tc>
        <w:tc>
          <w:tcPr>
            <w:tcW w:w="207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b/>
                <w:color w:val="000000"/>
                <w:szCs w:val="21"/>
              </w:rPr>
            </w:pPr>
            <w:r>
              <w:rPr>
                <w:rFonts w:hint="eastAsia" w:ascii="仿宋" w:hAnsi="仿宋" w:eastAsia="仿宋" w:cs="宋体"/>
                <w:b/>
                <w:color w:val="000000"/>
                <w:szCs w:val="21"/>
              </w:rPr>
              <w:t>516.89</w:t>
            </w:r>
          </w:p>
        </w:tc>
      </w:tr>
      <w:tr>
        <w:tblPrEx>
          <w:tblLayout w:type="fixed"/>
          <w:tblCellMar>
            <w:top w:w="15" w:type="dxa"/>
            <w:left w:w="15" w:type="dxa"/>
            <w:bottom w:w="15" w:type="dxa"/>
            <w:right w:w="15" w:type="dxa"/>
          </w:tblCellMar>
        </w:tblPrEx>
        <w:trPr>
          <w:trHeight w:val="555" w:hRule="atLeast"/>
        </w:trPr>
        <w:tc>
          <w:tcPr>
            <w:tcW w:w="10320" w:type="dxa"/>
            <w:gridSpan w:val="8"/>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注：本表反映部门本年度的总收支和年末结转结余情况。</w:t>
            </w:r>
          </w:p>
        </w:tc>
      </w:tr>
    </w:tbl>
    <w:p>
      <w:pPr>
        <w:spacing w:line="360" w:lineRule="auto"/>
        <w:jc w:val="center"/>
        <w:rPr>
          <w:rFonts w:ascii="仿宋" w:hAnsi="仿宋" w:eastAsia="仿宋" w:cs="隶书"/>
          <w:sz w:val="52"/>
          <w:szCs w:val="52"/>
        </w:rPr>
      </w:pPr>
    </w:p>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20" w:type="dxa"/>
        <w:tblInd w:w="-1051" w:type="dxa"/>
        <w:tblLayout w:type="fixed"/>
        <w:tblCellMar>
          <w:top w:w="15" w:type="dxa"/>
          <w:left w:w="15" w:type="dxa"/>
          <w:bottom w:w="15" w:type="dxa"/>
          <w:right w:w="15" w:type="dxa"/>
        </w:tblCellMar>
      </w:tblPr>
      <w:tblGrid>
        <w:gridCol w:w="705"/>
        <w:gridCol w:w="938"/>
        <w:gridCol w:w="709"/>
        <w:gridCol w:w="1041"/>
        <w:gridCol w:w="97"/>
        <w:gridCol w:w="902"/>
        <w:gridCol w:w="236"/>
        <w:gridCol w:w="763"/>
        <w:gridCol w:w="375"/>
        <w:gridCol w:w="624"/>
        <w:gridCol w:w="514"/>
        <w:gridCol w:w="485"/>
        <w:gridCol w:w="653"/>
        <w:gridCol w:w="346"/>
        <w:gridCol w:w="792"/>
        <w:gridCol w:w="1140"/>
      </w:tblGrid>
      <w:tr>
        <w:tblPrEx>
          <w:tblLayout w:type="fixed"/>
          <w:tblCellMar>
            <w:top w:w="15" w:type="dxa"/>
            <w:left w:w="15" w:type="dxa"/>
            <w:bottom w:w="15" w:type="dxa"/>
            <w:right w:w="15" w:type="dxa"/>
          </w:tblCellMar>
        </w:tblPrEx>
        <w:trPr>
          <w:trHeight w:val="375" w:hRule="atLeast"/>
        </w:trPr>
        <w:tc>
          <w:tcPr>
            <w:tcW w:w="10320" w:type="dxa"/>
            <w:gridSpan w:val="16"/>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b/>
                <w:bCs/>
                <w:color w:val="000000"/>
                <w:kern w:val="0"/>
                <w:sz w:val="28"/>
                <w:szCs w:val="28"/>
              </w:rPr>
              <w:t>收入预算表</w:t>
            </w:r>
          </w:p>
        </w:tc>
      </w:tr>
      <w:tr>
        <w:tblPrEx>
          <w:tblLayout w:type="fixed"/>
          <w:tblCellMar>
            <w:top w:w="15" w:type="dxa"/>
            <w:left w:w="15" w:type="dxa"/>
            <w:bottom w:w="15" w:type="dxa"/>
            <w:right w:w="15" w:type="dxa"/>
          </w:tblCellMar>
        </w:tblPrEx>
        <w:trPr>
          <w:trHeight w:val="315" w:hRule="atLeast"/>
        </w:trPr>
        <w:tc>
          <w:tcPr>
            <w:tcW w:w="1643" w:type="dxa"/>
            <w:gridSpan w:val="2"/>
            <w:vAlign w:val="center"/>
          </w:tcPr>
          <w:p>
            <w:pPr>
              <w:rPr>
                <w:rFonts w:ascii="仿宋" w:hAnsi="仿宋" w:eastAsia="仿宋" w:cs="宋体"/>
                <w:color w:val="000000"/>
                <w:sz w:val="16"/>
                <w:szCs w:val="16"/>
              </w:rPr>
            </w:pPr>
          </w:p>
        </w:tc>
        <w:tc>
          <w:tcPr>
            <w:tcW w:w="709" w:type="dxa"/>
            <w:vAlign w:val="center"/>
          </w:tcPr>
          <w:p>
            <w:pPr>
              <w:rPr>
                <w:rFonts w:ascii="仿宋" w:hAnsi="仿宋" w:eastAsia="仿宋" w:cs="宋体"/>
                <w:color w:val="000000"/>
                <w:sz w:val="16"/>
                <w:szCs w:val="16"/>
              </w:rPr>
            </w:pP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02</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643" w:type="dxa"/>
            <w:gridSpan w:val="2"/>
            <w:vAlign w:val="center"/>
          </w:tcPr>
          <w:p>
            <w:pPr>
              <w:rPr>
                <w:rFonts w:ascii="仿宋" w:hAnsi="仿宋" w:eastAsia="仿宋" w:cs="宋体"/>
                <w:color w:val="000000"/>
                <w:sz w:val="16"/>
                <w:szCs w:val="16"/>
              </w:rPr>
            </w:pPr>
          </w:p>
        </w:tc>
        <w:tc>
          <w:tcPr>
            <w:tcW w:w="709" w:type="dxa"/>
            <w:vAlign w:val="center"/>
          </w:tcPr>
          <w:p>
            <w:pPr>
              <w:rPr>
                <w:rFonts w:ascii="仿宋" w:hAnsi="仿宋" w:eastAsia="仿宋" w:cs="宋体"/>
                <w:color w:val="000000"/>
                <w:sz w:val="16"/>
                <w:szCs w:val="16"/>
              </w:rPr>
            </w:pP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2352"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项目</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本年收入合计</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财政拨款收入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上级补助收入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事业收入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经营收入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附属单位</w:t>
            </w:r>
            <w:r>
              <w:rPr>
                <w:rFonts w:hint="eastAsia" w:ascii="仿宋_GB2312" w:hAnsi="仿宋_GB2312" w:eastAsia="仿宋_GB2312" w:cs="仿宋_GB2312"/>
                <w:b/>
                <w:color w:val="000000"/>
                <w:kern w:val="0"/>
                <w:sz w:val="18"/>
                <w:szCs w:val="18"/>
              </w:rPr>
              <w:br w:type="textWrapping"/>
            </w:r>
            <w:r>
              <w:rPr>
                <w:rFonts w:hint="eastAsia" w:ascii="仿宋_GB2312" w:hAnsi="仿宋_GB2312" w:eastAsia="仿宋_GB2312" w:cs="仿宋_GB2312"/>
                <w:b/>
                <w:color w:val="000000"/>
                <w:kern w:val="0"/>
                <w:sz w:val="18"/>
                <w:szCs w:val="18"/>
              </w:rPr>
              <w:t>上缴收入</w:t>
            </w:r>
          </w:p>
        </w:tc>
        <w:tc>
          <w:tcPr>
            <w:tcW w:w="114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其他收入</w:t>
            </w:r>
          </w:p>
        </w:tc>
      </w:tr>
      <w:tr>
        <w:tblPrEx>
          <w:tblLayout w:type="fixed"/>
          <w:tblCellMar>
            <w:top w:w="15" w:type="dxa"/>
            <w:left w:w="15" w:type="dxa"/>
            <w:bottom w:w="15" w:type="dxa"/>
            <w:right w:w="15" w:type="dxa"/>
          </w:tblCellMar>
        </w:tblPrEx>
        <w:trPr>
          <w:trHeight w:val="6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功能分类</w:t>
            </w:r>
            <w:r>
              <w:rPr>
                <w:rFonts w:hint="eastAsia" w:ascii="仿宋_GB2312" w:hAnsi="仿宋_GB2312" w:eastAsia="仿宋_GB2312" w:cs="仿宋_GB2312"/>
                <w:b/>
                <w:color w:val="000000"/>
                <w:kern w:val="0"/>
                <w:sz w:val="18"/>
                <w:szCs w:val="18"/>
              </w:rPr>
              <w:br w:type="textWrapping"/>
            </w:r>
            <w:r>
              <w:rPr>
                <w:rFonts w:hint="eastAsia" w:ascii="仿宋_GB2312" w:hAnsi="仿宋_GB2312" w:eastAsia="仿宋_GB2312" w:cs="仿宋_GB2312"/>
                <w:b/>
                <w:color w:val="000000"/>
                <w:kern w:val="0"/>
                <w:sz w:val="18"/>
                <w:szCs w:val="18"/>
              </w:rPr>
              <w:t>科目编码</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科目名称</w:t>
            </w: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14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_GB2312" w:hAnsi="仿宋_GB2312" w:eastAsia="仿宋_GB2312" w:cs="仿宋_GB2312"/>
                <w:b/>
                <w:color w:val="000000"/>
                <w:sz w:val="18"/>
                <w:szCs w:val="18"/>
              </w:rPr>
            </w:pPr>
          </w:p>
        </w:tc>
      </w:tr>
      <w:tr>
        <w:tblPrEx>
          <w:tblLayout w:type="fixed"/>
        </w:tblPrEx>
        <w:trPr>
          <w:trHeight w:val="689"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栏次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6</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7</w:t>
            </w:r>
          </w:p>
        </w:tc>
      </w:tr>
      <w:tr>
        <w:tblPrEx>
          <w:tblLayout w:type="fixed"/>
          <w:tblCellMar>
            <w:top w:w="15" w:type="dxa"/>
            <w:left w:w="15" w:type="dxa"/>
            <w:bottom w:w="15" w:type="dxa"/>
            <w:right w:w="15" w:type="dxa"/>
          </w:tblCellMar>
        </w:tblPrEx>
        <w:trPr>
          <w:trHeight w:val="300"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合计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b/>
                <w:color w:val="000000"/>
                <w:szCs w:val="21"/>
              </w:rPr>
            </w:pPr>
            <w:r>
              <w:rPr>
                <w:rFonts w:hint="eastAsia" w:ascii="仿宋_GB2312" w:hAnsi="仿宋_GB2312" w:eastAsia="仿宋_GB2312" w:cs="仿宋_GB2312"/>
                <w:bCs/>
                <w:color w:val="000000"/>
                <w:szCs w:val="21"/>
              </w:rPr>
              <w:t>516.89</w:t>
            </w:r>
          </w:p>
        </w:tc>
        <w:tc>
          <w:tcPr>
            <w:tcW w:w="1138" w:type="dxa"/>
            <w:gridSpan w:val="2"/>
            <w:tcBorders>
              <w:top w:val="single" w:color="000000" w:sz="4" w:space="0"/>
              <w:left w:val="single" w:color="000000" w:sz="4" w:space="0"/>
              <w:bottom w:val="single" w:color="000000" w:sz="4" w:space="0"/>
              <w:right w:val="single" w:color="000000" w:sz="4" w:space="0"/>
            </w:tcBorders>
          </w:tcPr>
          <w:p>
            <w:pPr>
              <w:jc w:val="right"/>
              <w:rPr>
                <w:rFonts w:ascii="仿宋_GB2312" w:hAnsi="仿宋_GB2312" w:eastAsia="仿宋_GB2312" w:cs="仿宋_GB2312"/>
                <w:szCs w:val="21"/>
              </w:rPr>
            </w:pPr>
            <w:r>
              <w:rPr>
                <w:rFonts w:hint="eastAsia" w:ascii="仿宋_GB2312" w:hAnsi="仿宋_GB2312" w:eastAsia="仿宋_GB2312" w:cs="仿宋_GB2312"/>
                <w:szCs w:val="21"/>
              </w:rPr>
              <w:t>516.89</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b/>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b/>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b/>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b/>
                <w:color w:val="000000"/>
                <w:sz w:val="18"/>
                <w:szCs w:val="18"/>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_GB2312" w:hAnsi="仿宋_GB2312" w:eastAsia="仿宋_GB2312" w:cs="仿宋_GB2312"/>
                <w:b/>
                <w:color w:val="000000"/>
                <w:sz w:val="18"/>
                <w:szCs w:val="18"/>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rPr>
              <w:t>2010308</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信访事务</w:t>
            </w:r>
          </w:p>
        </w:tc>
        <w:tc>
          <w:tcPr>
            <w:tcW w:w="1138" w:type="dxa"/>
            <w:gridSpan w:val="2"/>
            <w:tcBorders>
              <w:top w:val="single" w:color="000000" w:sz="4" w:space="0"/>
              <w:left w:val="single" w:color="000000" w:sz="4" w:space="0"/>
              <w:bottom w:val="single" w:color="000000" w:sz="4" w:space="0"/>
              <w:right w:val="single" w:color="000000" w:sz="4" w:space="0"/>
            </w:tcBorders>
          </w:tcPr>
          <w:p>
            <w:pPr>
              <w:jc w:val="right"/>
              <w:rPr>
                <w:rFonts w:ascii="仿宋_GB2312" w:hAnsi="仿宋_GB2312" w:eastAsia="仿宋_GB2312" w:cs="仿宋_GB2312"/>
                <w:szCs w:val="21"/>
              </w:rPr>
            </w:pPr>
            <w:r>
              <w:rPr>
                <w:rFonts w:hint="eastAsia" w:ascii="仿宋_GB2312" w:hAnsi="仿宋_GB2312" w:eastAsia="仿宋_GB2312" w:cs="仿宋_GB2312"/>
                <w:szCs w:val="21"/>
              </w:rPr>
              <w:t>380.94</w:t>
            </w:r>
          </w:p>
        </w:tc>
        <w:tc>
          <w:tcPr>
            <w:tcW w:w="1138" w:type="dxa"/>
            <w:gridSpan w:val="2"/>
            <w:tcBorders>
              <w:top w:val="single" w:color="000000" w:sz="4" w:space="0"/>
              <w:left w:val="single" w:color="000000" w:sz="4" w:space="0"/>
              <w:bottom w:val="single" w:color="000000" w:sz="4" w:space="0"/>
              <w:right w:val="single" w:color="000000" w:sz="4" w:space="0"/>
            </w:tcBorders>
          </w:tcPr>
          <w:p>
            <w:pPr>
              <w:jc w:val="right"/>
              <w:rPr>
                <w:rFonts w:ascii="仿宋_GB2312" w:hAnsi="仿宋_GB2312" w:eastAsia="仿宋_GB2312" w:cs="仿宋_GB2312"/>
                <w:szCs w:val="21"/>
              </w:rPr>
            </w:pPr>
            <w:r>
              <w:rPr>
                <w:rFonts w:hint="eastAsia" w:ascii="仿宋_GB2312" w:hAnsi="仿宋_GB2312" w:eastAsia="仿宋_GB2312" w:cs="仿宋_GB2312"/>
                <w:szCs w:val="21"/>
              </w:rPr>
              <w:t>380.94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b/>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b/>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b/>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b/>
                <w:color w:val="000000"/>
                <w:sz w:val="18"/>
                <w:szCs w:val="18"/>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_GB2312" w:hAnsi="仿宋_GB2312" w:eastAsia="仿宋_GB2312" w:cs="仿宋_GB2312"/>
                <w:b/>
                <w:color w:val="000000"/>
                <w:sz w:val="18"/>
                <w:szCs w:val="18"/>
              </w:rPr>
            </w:pPr>
          </w:p>
        </w:tc>
      </w:tr>
      <w:tr>
        <w:tblPrEx>
          <w:tblLayout w:type="fixed"/>
          <w:tblCellMar>
            <w:top w:w="15" w:type="dxa"/>
            <w:left w:w="15" w:type="dxa"/>
            <w:bottom w:w="15" w:type="dxa"/>
            <w:right w:w="15" w:type="dxa"/>
          </w:tblCellMar>
        </w:tblPrEx>
        <w:trPr>
          <w:trHeight w:val="9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2010350</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事业运行</w:t>
            </w:r>
          </w:p>
        </w:tc>
        <w:tc>
          <w:tcPr>
            <w:tcW w:w="1138" w:type="dxa"/>
            <w:gridSpan w:val="2"/>
            <w:tcBorders>
              <w:top w:val="single" w:color="000000" w:sz="4" w:space="0"/>
              <w:left w:val="single" w:color="000000" w:sz="4" w:space="0"/>
              <w:bottom w:val="single" w:color="000000" w:sz="4" w:space="0"/>
              <w:right w:val="single" w:color="000000" w:sz="4" w:space="0"/>
            </w:tcBorders>
          </w:tcPr>
          <w:p>
            <w:pPr>
              <w:jc w:val="right"/>
              <w:rPr>
                <w:rFonts w:ascii="仿宋_GB2312" w:hAnsi="仿宋_GB2312" w:eastAsia="仿宋_GB2312" w:cs="仿宋_GB2312"/>
                <w:szCs w:val="21"/>
              </w:rPr>
            </w:pPr>
            <w:r>
              <w:rPr>
                <w:rFonts w:hint="eastAsia" w:ascii="仿宋_GB2312" w:hAnsi="仿宋_GB2312" w:eastAsia="仿宋_GB2312" w:cs="仿宋_GB2312"/>
                <w:szCs w:val="21"/>
              </w:rPr>
              <w:t>81.75</w:t>
            </w:r>
          </w:p>
        </w:tc>
        <w:tc>
          <w:tcPr>
            <w:tcW w:w="1138" w:type="dxa"/>
            <w:gridSpan w:val="2"/>
            <w:tcBorders>
              <w:top w:val="single" w:color="000000" w:sz="4" w:space="0"/>
              <w:left w:val="single" w:color="000000" w:sz="4" w:space="0"/>
              <w:bottom w:val="single" w:color="000000" w:sz="4" w:space="0"/>
              <w:right w:val="single" w:color="000000" w:sz="4" w:space="0"/>
            </w:tcBorders>
          </w:tcPr>
          <w:p>
            <w:pPr>
              <w:jc w:val="right"/>
              <w:rPr>
                <w:rFonts w:ascii="仿宋_GB2312" w:hAnsi="仿宋_GB2312" w:eastAsia="仿宋_GB2312" w:cs="仿宋_GB2312"/>
                <w:szCs w:val="21"/>
              </w:rPr>
            </w:pPr>
            <w:r>
              <w:rPr>
                <w:rFonts w:hint="eastAsia" w:ascii="仿宋_GB2312" w:hAnsi="仿宋_GB2312" w:eastAsia="仿宋_GB2312" w:cs="仿宋_GB2312"/>
                <w:szCs w:val="21"/>
              </w:rPr>
              <w:t>81.75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_GB2312" w:hAnsi="仿宋_GB2312" w:eastAsia="仿宋_GB2312" w:cs="仿宋_GB2312"/>
                <w:color w:val="000000"/>
                <w:sz w:val="18"/>
                <w:szCs w:val="18"/>
              </w:rPr>
            </w:pPr>
          </w:p>
        </w:tc>
      </w:tr>
      <w:tr>
        <w:tblPrEx>
          <w:tblLayout w:type="fixed"/>
          <w:tblCellMar>
            <w:top w:w="15" w:type="dxa"/>
            <w:left w:w="15" w:type="dxa"/>
            <w:bottom w:w="15" w:type="dxa"/>
            <w:right w:w="15" w:type="dxa"/>
          </w:tblCellMar>
        </w:tblPrEx>
        <w:trPr>
          <w:trHeight w:val="317"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2210201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住房公积金</w:t>
            </w:r>
          </w:p>
        </w:tc>
        <w:tc>
          <w:tcPr>
            <w:tcW w:w="1138" w:type="dxa"/>
            <w:gridSpan w:val="2"/>
            <w:tcBorders>
              <w:top w:val="single" w:color="000000" w:sz="4" w:space="0"/>
              <w:left w:val="single" w:color="000000" w:sz="4" w:space="0"/>
              <w:bottom w:val="single" w:color="000000" w:sz="4" w:space="0"/>
              <w:right w:val="single" w:color="000000" w:sz="4" w:space="0"/>
            </w:tcBorders>
          </w:tcPr>
          <w:p>
            <w:pPr>
              <w:jc w:val="right"/>
              <w:rPr>
                <w:rFonts w:ascii="仿宋_GB2312" w:hAnsi="仿宋_GB2312" w:eastAsia="仿宋_GB2312" w:cs="仿宋_GB2312"/>
                <w:szCs w:val="21"/>
              </w:rPr>
            </w:pPr>
            <w:r>
              <w:rPr>
                <w:rFonts w:hint="eastAsia" w:ascii="仿宋_GB2312" w:hAnsi="仿宋_GB2312" w:eastAsia="仿宋_GB2312" w:cs="仿宋_GB2312"/>
                <w:szCs w:val="21"/>
              </w:rPr>
              <w:t>17.00</w:t>
            </w:r>
          </w:p>
        </w:tc>
        <w:tc>
          <w:tcPr>
            <w:tcW w:w="1138" w:type="dxa"/>
            <w:gridSpan w:val="2"/>
            <w:tcBorders>
              <w:top w:val="single" w:color="000000" w:sz="4" w:space="0"/>
              <w:left w:val="single" w:color="000000" w:sz="4" w:space="0"/>
              <w:bottom w:val="single" w:color="000000" w:sz="4" w:space="0"/>
              <w:right w:val="single" w:color="000000" w:sz="4" w:space="0"/>
            </w:tcBorders>
          </w:tcPr>
          <w:p>
            <w:pPr>
              <w:jc w:val="right"/>
              <w:rPr>
                <w:rFonts w:ascii="仿宋_GB2312" w:hAnsi="仿宋_GB2312" w:eastAsia="仿宋_GB2312" w:cs="仿宋_GB2312"/>
                <w:szCs w:val="21"/>
              </w:rPr>
            </w:pPr>
            <w:r>
              <w:rPr>
                <w:rFonts w:hint="eastAsia" w:ascii="仿宋_GB2312" w:hAnsi="仿宋_GB2312" w:eastAsia="仿宋_GB2312" w:cs="仿宋_GB2312"/>
                <w:szCs w:val="21"/>
              </w:rPr>
              <w:t>17.00</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_GB2312" w:hAnsi="仿宋_GB2312" w:eastAsia="仿宋_GB2312" w:cs="仿宋_GB2312"/>
                <w:color w:val="000000"/>
                <w:sz w:val="18"/>
                <w:szCs w:val="18"/>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2080505</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基本养老金</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27.90</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27.90</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_GB2312" w:hAnsi="仿宋_GB2312" w:eastAsia="仿宋_GB2312" w:cs="仿宋_GB2312"/>
                <w:color w:val="000000"/>
                <w:sz w:val="18"/>
                <w:szCs w:val="18"/>
              </w:rPr>
            </w:pPr>
          </w:p>
        </w:tc>
      </w:tr>
      <w:tr>
        <w:tblPrEx>
          <w:tblLayout w:type="fixed"/>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2101101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行政医疗</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3.77</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3.77</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_GB2312" w:hAnsi="仿宋_GB2312" w:eastAsia="仿宋_GB2312" w:cs="仿宋_GB2312"/>
                <w:color w:val="000000"/>
                <w:sz w:val="18"/>
                <w:szCs w:val="18"/>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2101101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事业医疗</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4.33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4.33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_GB2312" w:hAnsi="仿宋_GB2312" w:eastAsia="仿宋_GB2312" w:cs="仿宋_GB2312"/>
                <w:color w:val="000000"/>
                <w:sz w:val="18"/>
                <w:szCs w:val="18"/>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2082701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失业保险</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0.49</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0.49</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_GB2312" w:hAnsi="仿宋_GB2312" w:eastAsia="仿宋_GB2312" w:cs="仿宋_GB2312"/>
                <w:color w:val="000000"/>
                <w:sz w:val="18"/>
                <w:szCs w:val="18"/>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2082702</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工伤保险</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0.25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0.25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_GB2312" w:hAnsi="仿宋_GB2312" w:eastAsia="仿宋_GB2312" w:cs="仿宋_GB2312"/>
                <w:color w:val="000000"/>
                <w:kern w:val="0"/>
                <w:sz w:val="18"/>
                <w:szCs w:val="18"/>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2082703</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生育保险</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0.46</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0.46</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_GB2312" w:hAnsi="仿宋_GB2312" w:eastAsia="仿宋_GB2312" w:cs="仿宋_GB2312"/>
                <w:color w:val="000000"/>
                <w:kern w:val="0"/>
                <w:sz w:val="18"/>
                <w:szCs w:val="18"/>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_GB2312" w:hAnsi="仿宋_GB2312" w:eastAsia="仿宋_GB2312" w:cs="仿宋_GB2312"/>
                <w:color w:val="000000"/>
                <w:kern w:val="0"/>
                <w:sz w:val="18"/>
                <w:szCs w:val="18"/>
              </w:rPr>
            </w:pPr>
          </w:p>
        </w:tc>
      </w:tr>
      <w:tr>
        <w:tblPrEx>
          <w:tblLayout w:type="fixed"/>
        </w:tblPrEx>
        <w:trPr>
          <w:trHeight w:val="30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p>
        </w:tc>
        <w:tc>
          <w:tcPr>
            <w:tcW w:w="1647"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4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_GB2312" w:hAnsi="仿宋_GB2312" w:eastAsia="仿宋_GB2312" w:cs="仿宋_GB2312"/>
                <w:color w:val="000000"/>
                <w:sz w:val="18"/>
                <w:szCs w:val="18"/>
              </w:rPr>
            </w:pPr>
          </w:p>
        </w:tc>
      </w:tr>
      <w:tr>
        <w:tblPrEx>
          <w:tblLayout w:type="fixed"/>
          <w:tblCellMar>
            <w:top w:w="15" w:type="dxa"/>
            <w:left w:w="15" w:type="dxa"/>
            <w:bottom w:w="15" w:type="dxa"/>
            <w:right w:w="15" w:type="dxa"/>
          </w:tblCellMar>
        </w:tblPrEx>
        <w:trPr>
          <w:trHeight w:val="360" w:hRule="atLeast"/>
        </w:trPr>
        <w:tc>
          <w:tcPr>
            <w:tcW w:w="10320" w:type="dxa"/>
            <w:gridSpan w:val="16"/>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注：本表反映部门本年度取得的各项收入情况。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35" w:type="dxa"/>
        <w:tblInd w:w="-1051" w:type="dxa"/>
        <w:tblLayout w:type="fixed"/>
        <w:tblCellMar>
          <w:top w:w="15" w:type="dxa"/>
          <w:left w:w="15" w:type="dxa"/>
          <w:bottom w:w="15" w:type="dxa"/>
          <w:right w:w="15" w:type="dxa"/>
        </w:tblCellMar>
      </w:tblPr>
      <w:tblGrid>
        <w:gridCol w:w="720"/>
        <w:gridCol w:w="992"/>
        <w:gridCol w:w="1519"/>
        <w:gridCol w:w="1161"/>
        <w:gridCol w:w="23"/>
        <w:gridCol w:w="976"/>
        <w:gridCol w:w="208"/>
        <w:gridCol w:w="791"/>
        <w:gridCol w:w="393"/>
        <w:gridCol w:w="606"/>
        <w:gridCol w:w="578"/>
        <w:gridCol w:w="421"/>
        <w:gridCol w:w="763"/>
        <w:gridCol w:w="1184"/>
      </w:tblGrid>
      <w:tr>
        <w:tblPrEx>
          <w:tblLayout w:type="fixed"/>
          <w:tblCellMar>
            <w:top w:w="15" w:type="dxa"/>
            <w:left w:w="15" w:type="dxa"/>
            <w:bottom w:w="15" w:type="dxa"/>
            <w:right w:w="15" w:type="dxa"/>
          </w:tblCellMar>
        </w:tblPrEx>
        <w:trPr>
          <w:trHeight w:val="375" w:hRule="atLeast"/>
        </w:trPr>
        <w:tc>
          <w:tcPr>
            <w:tcW w:w="10335" w:type="dxa"/>
            <w:gridSpan w:val="14"/>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b/>
                <w:bCs/>
                <w:color w:val="000000"/>
                <w:kern w:val="0"/>
                <w:sz w:val="28"/>
                <w:szCs w:val="28"/>
              </w:rPr>
              <w:t>支出预算表</w:t>
            </w:r>
          </w:p>
        </w:tc>
      </w:tr>
      <w:tr>
        <w:tblPrEx>
          <w:tblLayout w:type="fixed"/>
          <w:tblCellMar>
            <w:top w:w="15" w:type="dxa"/>
            <w:left w:w="15" w:type="dxa"/>
            <w:bottom w:w="15" w:type="dxa"/>
            <w:right w:w="15" w:type="dxa"/>
          </w:tblCellMar>
        </w:tblPrEx>
        <w:trPr>
          <w:trHeight w:val="315" w:hRule="atLeast"/>
        </w:trPr>
        <w:tc>
          <w:tcPr>
            <w:tcW w:w="1712" w:type="dxa"/>
            <w:gridSpan w:val="2"/>
            <w:vAlign w:val="center"/>
          </w:tcPr>
          <w:p>
            <w:pPr>
              <w:rPr>
                <w:rFonts w:ascii="仿宋" w:hAnsi="仿宋" w:eastAsia="仿宋" w:cs="宋体"/>
                <w:color w:val="000000"/>
                <w:sz w:val="16"/>
                <w:szCs w:val="16"/>
              </w:rPr>
            </w:pPr>
          </w:p>
        </w:tc>
        <w:tc>
          <w:tcPr>
            <w:tcW w:w="1519" w:type="dxa"/>
            <w:vAlign w:val="center"/>
          </w:tcPr>
          <w:p>
            <w:pPr>
              <w:rPr>
                <w:rFonts w:ascii="仿宋" w:hAnsi="仿宋" w:eastAsia="仿宋" w:cs="宋体"/>
                <w:color w:val="000000"/>
                <w:sz w:val="16"/>
                <w:szCs w:val="16"/>
              </w:rPr>
            </w:pPr>
          </w:p>
        </w:tc>
        <w:tc>
          <w:tcPr>
            <w:tcW w:w="116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03</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712" w:type="dxa"/>
            <w:gridSpan w:val="2"/>
            <w:vAlign w:val="center"/>
          </w:tcPr>
          <w:p>
            <w:pPr>
              <w:rPr>
                <w:rFonts w:ascii="仿宋" w:hAnsi="仿宋" w:eastAsia="仿宋" w:cs="宋体"/>
                <w:color w:val="000000"/>
                <w:sz w:val="16"/>
                <w:szCs w:val="16"/>
              </w:rPr>
            </w:pPr>
          </w:p>
        </w:tc>
        <w:tc>
          <w:tcPr>
            <w:tcW w:w="1519" w:type="dxa"/>
            <w:vAlign w:val="center"/>
          </w:tcPr>
          <w:p>
            <w:pPr>
              <w:rPr>
                <w:rFonts w:ascii="仿宋" w:hAnsi="仿宋" w:eastAsia="仿宋" w:cs="宋体"/>
                <w:color w:val="000000"/>
                <w:sz w:val="16"/>
                <w:szCs w:val="16"/>
              </w:rPr>
            </w:pPr>
          </w:p>
        </w:tc>
        <w:tc>
          <w:tcPr>
            <w:tcW w:w="116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23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上缴上级支出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经营支出</w:t>
            </w:r>
          </w:p>
        </w:tc>
        <w:tc>
          <w:tcPr>
            <w:tcW w:w="1184"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补助支出</w:t>
            </w:r>
          </w:p>
        </w:tc>
      </w:tr>
      <w:tr>
        <w:tblPrEx>
          <w:tblLayout w:type="fixed"/>
          <w:tblCellMar>
            <w:top w:w="15" w:type="dxa"/>
            <w:left w:w="15" w:type="dxa"/>
            <w:bottom w:w="15" w:type="dxa"/>
            <w:right w:w="15" w:type="dxa"/>
          </w:tblCellMar>
        </w:tblPrEx>
        <w:trPr>
          <w:trHeight w:val="6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Layout w:type="fixed"/>
          <w:tblCellMar>
            <w:top w:w="15" w:type="dxa"/>
            <w:left w:w="15" w:type="dxa"/>
            <w:bottom w:w="15" w:type="dxa"/>
            <w:right w:w="15" w:type="dxa"/>
          </w:tblCellMar>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84" w:type="dxa"/>
            <w:gridSpan w:val="2"/>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szCs w:val="21"/>
              </w:rPr>
            </w:pPr>
            <w:r>
              <w:rPr>
                <w:rFonts w:hint="eastAsia" w:ascii="仿宋" w:hAnsi="仿宋" w:eastAsia="仿宋"/>
                <w:szCs w:val="21"/>
              </w:rPr>
              <w:t>516.89</w:t>
            </w:r>
          </w:p>
        </w:tc>
        <w:tc>
          <w:tcPr>
            <w:tcW w:w="1184" w:type="dxa"/>
            <w:gridSpan w:val="2"/>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szCs w:val="21"/>
              </w:rPr>
            </w:pPr>
            <w:r>
              <w:rPr>
                <w:rFonts w:hint="eastAsia" w:ascii="仿宋" w:hAnsi="仿宋" w:eastAsia="仿宋"/>
                <w:szCs w:val="21"/>
              </w:rPr>
              <w:t>222.29</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Cs w:val="21"/>
              </w:rPr>
              <w:t>294.60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_GB2312" w:hAnsi="仿宋_GB2312" w:eastAsia="仿宋_GB2312" w:cs="仿宋_GB2312"/>
                <w:bCs/>
                <w:color w:val="000000"/>
                <w:kern w:val="0"/>
                <w:sz w:val="18"/>
                <w:szCs w:val="18"/>
              </w:rPr>
              <w:t>2010308</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_GB2312" w:hAnsi="仿宋_GB2312" w:eastAsia="仿宋_GB2312" w:cs="仿宋_GB2312"/>
                <w:bCs/>
                <w:color w:val="000000"/>
                <w:sz w:val="18"/>
                <w:szCs w:val="18"/>
              </w:rPr>
              <w:t>信访事务</w:t>
            </w:r>
          </w:p>
        </w:tc>
        <w:tc>
          <w:tcPr>
            <w:tcW w:w="1184" w:type="dxa"/>
            <w:gridSpan w:val="2"/>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szCs w:val="21"/>
              </w:rPr>
            </w:pPr>
            <w:r>
              <w:rPr>
                <w:rFonts w:hint="eastAsia" w:ascii="仿宋_GB2312" w:hAnsi="仿宋_GB2312" w:eastAsia="仿宋_GB2312" w:cs="仿宋_GB2312"/>
                <w:szCs w:val="21"/>
              </w:rPr>
              <w:t>380.94</w:t>
            </w:r>
          </w:p>
        </w:tc>
        <w:tc>
          <w:tcPr>
            <w:tcW w:w="1184" w:type="dxa"/>
            <w:gridSpan w:val="2"/>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szCs w:val="21"/>
              </w:rPr>
            </w:pPr>
            <w:r>
              <w:rPr>
                <w:rFonts w:hint="eastAsia" w:ascii="仿宋_GB2312" w:hAnsi="仿宋_GB2312" w:eastAsia="仿宋_GB2312" w:cs="仿宋_GB2312"/>
                <w:szCs w:val="21"/>
              </w:rPr>
              <w:t>86.34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Cs/>
                <w:color w:val="000000"/>
                <w:szCs w:val="21"/>
              </w:rPr>
              <w:t>294.60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kern w:val="0"/>
                <w:sz w:val="18"/>
                <w:szCs w:val="18"/>
              </w:rPr>
              <w:t>2010350</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rPr>
              <w:t>事业运行</w:t>
            </w:r>
          </w:p>
        </w:tc>
        <w:tc>
          <w:tcPr>
            <w:tcW w:w="1184" w:type="dxa"/>
            <w:gridSpan w:val="2"/>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szCs w:val="21"/>
              </w:rPr>
            </w:pPr>
            <w:r>
              <w:rPr>
                <w:rFonts w:hint="eastAsia" w:ascii="仿宋_GB2312" w:hAnsi="仿宋_GB2312" w:eastAsia="仿宋_GB2312" w:cs="仿宋_GB2312"/>
                <w:szCs w:val="21"/>
              </w:rPr>
              <w:t>81.75</w:t>
            </w:r>
          </w:p>
        </w:tc>
        <w:tc>
          <w:tcPr>
            <w:tcW w:w="1184" w:type="dxa"/>
            <w:gridSpan w:val="2"/>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szCs w:val="21"/>
              </w:rPr>
            </w:pPr>
            <w:r>
              <w:rPr>
                <w:rFonts w:hint="eastAsia" w:ascii="仿宋_GB2312" w:hAnsi="仿宋_GB2312" w:eastAsia="仿宋_GB2312" w:cs="仿宋_GB2312"/>
                <w:szCs w:val="21"/>
              </w:rPr>
              <w:t>81.75</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r>
              <w:rPr>
                <w:rFonts w:hint="eastAsia" w:ascii="仿宋" w:hAnsi="仿宋" w:eastAsia="仿宋" w:cs="宋体"/>
                <w:b/>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rPr>
              <w:t>2210201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rPr>
              <w:t>住房公积金</w:t>
            </w:r>
          </w:p>
        </w:tc>
        <w:tc>
          <w:tcPr>
            <w:tcW w:w="1184" w:type="dxa"/>
            <w:gridSpan w:val="2"/>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szCs w:val="21"/>
              </w:rPr>
            </w:pPr>
            <w:r>
              <w:rPr>
                <w:rFonts w:hint="eastAsia" w:ascii="仿宋_GB2312" w:hAnsi="仿宋_GB2312" w:eastAsia="仿宋_GB2312" w:cs="仿宋_GB2312"/>
                <w:szCs w:val="21"/>
              </w:rPr>
              <w:t>17.00</w:t>
            </w:r>
          </w:p>
        </w:tc>
        <w:tc>
          <w:tcPr>
            <w:tcW w:w="1184" w:type="dxa"/>
            <w:gridSpan w:val="2"/>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szCs w:val="21"/>
              </w:rPr>
            </w:pPr>
            <w:r>
              <w:rPr>
                <w:rFonts w:hint="eastAsia" w:ascii="仿宋_GB2312" w:hAnsi="仿宋_GB2312" w:eastAsia="仿宋_GB2312" w:cs="仿宋_GB2312"/>
                <w:szCs w:val="21"/>
              </w:rPr>
              <w:t>17.00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r>
              <w:rPr>
                <w:rFonts w:hint="eastAsia" w:ascii="仿宋" w:hAnsi="仿宋" w:eastAsia="仿宋"/>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rPr>
              <w:t>2080505</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rPr>
              <w:t>基本养老金</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Cs w:val="21"/>
              </w:rPr>
            </w:pPr>
            <w:r>
              <w:rPr>
                <w:rFonts w:hint="eastAsia" w:ascii="仿宋_GB2312" w:hAnsi="仿宋_GB2312" w:eastAsia="仿宋_GB2312" w:cs="仿宋_GB2312"/>
                <w:color w:val="000000"/>
                <w:szCs w:val="21"/>
              </w:rPr>
              <w:t>27.90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Cs w:val="21"/>
              </w:rPr>
            </w:pPr>
            <w:r>
              <w:rPr>
                <w:rFonts w:hint="eastAsia" w:ascii="仿宋_GB2312" w:hAnsi="仿宋_GB2312" w:eastAsia="仿宋_GB2312" w:cs="仿宋_GB2312"/>
                <w:color w:val="000000"/>
                <w:szCs w:val="21"/>
              </w:rPr>
              <w:t>27.90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rPr>
              <w:t>2101101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rPr>
              <w:t>行政医疗</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Cs w:val="21"/>
              </w:rPr>
            </w:pPr>
            <w:r>
              <w:rPr>
                <w:rFonts w:hint="eastAsia" w:ascii="仿宋_GB2312" w:hAnsi="仿宋_GB2312" w:eastAsia="仿宋_GB2312" w:cs="仿宋_GB2312"/>
                <w:color w:val="000000"/>
                <w:szCs w:val="21"/>
              </w:rPr>
              <w:t>3.77</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Cs w:val="21"/>
              </w:rPr>
            </w:pPr>
            <w:r>
              <w:rPr>
                <w:rFonts w:hint="eastAsia" w:ascii="仿宋_GB2312" w:hAnsi="仿宋_GB2312" w:eastAsia="仿宋_GB2312" w:cs="仿宋_GB2312"/>
                <w:color w:val="000000"/>
                <w:szCs w:val="21"/>
              </w:rPr>
              <w:t>3.77</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rPr>
              <w:t>2101101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rPr>
              <w:t>事业医疗</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Cs w:val="21"/>
              </w:rPr>
            </w:pPr>
            <w:r>
              <w:rPr>
                <w:rFonts w:hint="eastAsia" w:ascii="仿宋_GB2312" w:hAnsi="仿宋_GB2312" w:eastAsia="仿宋_GB2312" w:cs="仿宋_GB2312"/>
                <w:color w:val="000000"/>
                <w:szCs w:val="21"/>
              </w:rPr>
              <w:t>4.33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Cs w:val="21"/>
              </w:rPr>
            </w:pPr>
            <w:r>
              <w:rPr>
                <w:rFonts w:hint="eastAsia" w:ascii="仿宋_GB2312" w:hAnsi="仿宋_GB2312" w:eastAsia="仿宋_GB2312" w:cs="仿宋_GB2312"/>
                <w:color w:val="000000"/>
                <w:szCs w:val="21"/>
              </w:rPr>
              <w:t>4.33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rPr>
              <w:t>2082701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rPr>
              <w:t>失业保险</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Cs w:val="21"/>
              </w:rPr>
            </w:pPr>
            <w:r>
              <w:rPr>
                <w:rFonts w:hint="eastAsia" w:ascii="仿宋_GB2312" w:hAnsi="仿宋_GB2312" w:eastAsia="仿宋_GB2312" w:cs="仿宋_GB2312"/>
                <w:color w:val="000000"/>
                <w:szCs w:val="21"/>
              </w:rPr>
              <w:t>0.49</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Cs w:val="21"/>
              </w:rPr>
            </w:pPr>
            <w:r>
              <w:rPr>
                <w:rFonts w:hint="eastAsia" w:ascii="仿宋_GB2312" w:hAnsi="仿宋_GB2312" w:eastAsia="仿宋_GB2312" w:cs="仿宋_GB2312"/>
                <w:color w:val="000000"/>
                <w:szCs w:val="21"/>
              </w:rPr>
              <w:t>0.49</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kern w:val="0"/>
                <w:sz w:val="18"/>
                <w:szCs w:val="18"/>
              </w:rPr>
              <w:t>2082702</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kern w:val="0"/>
                <w:sz w:val="18"/>
                <w:szCs w:val="18"/>
              </w:rPr>
              <w:t>工伤保险</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Cs w:val="21"/>
              </w:rPr>
            </w:pPr>
            <w:r>
              <w:rPr>
                <w:rFonts w:hint="eastAsia" w:ascii="仿宋_GB2312" w:hAnsi="仿宋_GB2312" w:eastAsia="仿宋_GB2312" w:cs="仿宋_GB2312"/>
                <w:color w:val="000000"/>
                <w:kern w:val="0"/>
                <w:szCs w:val="21"/>
              </w:rPr>
              <w:t>0.25</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Cs w:val="21"/>
              </w:rPr>
            </w:pPr>
            <w:r>
              <w:rPr>
                <w:rFonts w:hint="eastAsia" w:ascii="仿宋_GB2312" w:hAnsi="仿宋_GB2312" w:eastAsia="仿宋_GB2312" w:cs="仿宋_GB2312"/>
                <w:color w:val="000000"/>
                <w:kern w:val="0"/>
                <w:szCs w:val="21"/>
              </w:rPr>
              <w:t>0.25</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kern w:val="0"/>
                <w:sz w:val="18"/>
                <w:szCs w:val="18"/>
              </w:rPr>
              <w:t>2082703</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kern w:val="0"/>
                <w:sz w:val="18"/>
                <w:szCs w:val="18"/>
              </w:rPr>
              <w:t>生育保险</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Cs w:val="21"/>
              </w:rPr>
            </w:pPr>
            <w:r>
              <w:rPr>
                <w:rFonts w:hint="eastAsia" w:ascii="仿宋_GB2312" w:hAnsi="仿宋_GB2312" w:eastAsia="仿宋_GB2312" w:cs="仿宋_GB2312"/>
                <w:color w:val="000000"/>
                <w:kern w:val="0"/>
                <w:szCs w:val="21"/>
              </w:rPr>
              <w:t>0.46</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Cs w:val="21"/>
              </w:rPr>
            </w:pPr>
            <w:r>
              <w:rPr>
                <w:rFonts w:hint="eastAsia" w:ascii="仿宋_GB2312" w:hAnsi="仿宋_GB2312" w:eastAsia="仿宋_GB2312" w:cs="仿宋_GB2312"/>
                <w:color w:val="000000"/>
                <w:kern w:val="0"/>
                <w:szCs w:val="21"/>
              </w:rPr>
              <w:t>0.46</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35" w:type="dxa"/>
            <w:gridSpan w:val="14"/>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注：本表反映部门本年度取得的各项支出情况。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65" w:type="dxa"/>
        <w:tblInd w:w="-1066" w:type="dxa"/>
        <w:tblLayout w:type="fixed"/>
        <w:tblCellMar>
          <w:top w:w="15" w:type="dxa"/>
          <w:left w:w="15" w:type="dxa"/>
          <w:bottom w:w="15" w:type="dxa"/>
          <w:right w:w="15" w:type="dxa"/>
        </w:tblCellMar>
      </w:tblPr>
      <w:tblGrid>
        <w:gridCol w:w="1380"/>
        <w:gridCol w:w="675"/>
        <w:gridCol w:w="135"/>
        <w:gridCol w:w="278"/>
        <w:gridCol w:w="122"/>
        <w:gridCol w:w="193"/>
        <w:gridCol w:w="1072"/>
        <w:gridCol w:w="30"/>
        <w:gridCol w:w="1746"/>
        <w:gridCol w:w="316"/>
        <w:gridCol w:w="68"/>
        <w:gridCol w:w="135"/>
        <w:gridCol w:w="30"/>
        <w:gridCol w:w="295"/>
        <w:gridCol w:w="471"/>
        <w:gridCol w:w="809"/>
        <w:gridCol w:w="15"/>
        <w:gridCol w:w="175"/>
        <w:gridCol w:w="230"/>
        <w:gridCol w:w="890"/>
        <w:gridCol w:w="1270"/>
        <w:gridCol w:w="30"/>
      </w:tblGrid>
      <w:tr>
        <w:tblPrEx>
          <w:tblLayout w:type="fixed"/>
          <w:tblCellMar>
            <w:top w:w="15" w:type="dxa"/>
            <w:left w:w="15" w:type="dxa"/>
            <w:bottom w:w="15" w:type="dxa"/>
            <w:right w:w="15" w:type="dxa"/>
          </w:tblCellMar>
        </w:tblPrEx>
        <w:trPr>
          <w:trHeight w:val="375" w:hRule="atLeast"/>
        </w:trPr>
        <w:tc>
          <w:tcPr>
            <w:tcW w:w="10365"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b/>
                <w:bCs/>
                <w:color w:val="000000"/>
                <w:kern w:val="0"/>
                <w:sz w:val="28"/>
                <w:szCs w:val="28"/>
              </w:rPr>
              <w:t>财政拨款收入支出预算表</w:t>
            </w:r>
          </w:p>
        </w:tc>
      </w:tr>
      <w:tr>
        <w:tblPrEx>
          <w:tblLayout w:type="fixed"/>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04</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885" w:type="dxa"/>
            <w:gridSpan w:val="8"/>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8"/>
                <w:szCs w:val="18"/>
              </w:rPr>
              <w:t>收　　入</w:t>
            </w:r>
          </w:p>
        </w:tc>
        <w:tc>
          <w:tcPr>
            <w:tcW w:w="6480" w:type="dxa"/>
            <w:gridSpan w:val="14"/>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8"/>
                <w:szCs w:val="18"/>
              </w:rPr>
              <w:t>支　　出</w:t>
            </w:r>
          </w:p>
        </w:tc>
      </w:tr>
      <w:tr>
        <w:tblPrEx>
          <w:tblLayout w:type="fixed"/>
          <w:tblCellMar>
            <w:top w:w="15" w:type="dxa"/>
            <w:left w:w="15" w:type="dxa"/>
            <w:bottom w:w="15" w:type="dxa"/>
            <w:right w:w="15" w:type="dxa"/>
          </w:tblCellMar>
        </w:tblPrEx>
        <w:trPr>
          <w:trHeight w:val="480"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一般公共预算财政拨款</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政府性基金预算财政拨款</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w:t>
            </w:r>
            <w:r>
              <w:rPr>
                <w:rFonts w:ascii="仿宋" w:hAnsi="仿宋" w:eastAsia="仿宋" w:cs="宋体"/>
                <w:b/>
                <w:color w:val="000000"/>
                <w:kern w:val="0"/>
                <w:sz w:val="16"/>
                <w:szCs w:val="16"/>
              </w:rPr>
              <w:t xml:space="preserve">    </w:t>
            </w:r>
            <w:r>
              <w:rPr>
                <w:rFonts w:hint="eastAsia" w:ascii="仿宋" w:hAnsi="仿宋" w:eastAsia="仿宋" w:cs="宋体"/>
                <w:b/>
                <w:color w:val="000000"/>
                <w:kern w:val="0"/>
                <w:sz w:val="16"/>
                <w:szCs w:val="16"/>
              </w:rPr>
              <w:t>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8"/>
                <w:szCs w:val="18"/>
              </w:rPr>
              <w:t>516.89</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r>
              <w:rPr>
                <w:rFonts w:hint="eastAsia" w:ascii="仿宋" w:hAnsi="仿宋" w:eastAsia="仿宋" w:cs="宋体"/>
                <w:bCs/>
                <w:color w:val="000000"/>
                <w:szCs w:val="21"/>
              </w:rPr>
              <w:t>516.89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r>
              <w:rPr>
                <w:rFonts w:hint="eastAsia" w:ascii="仿宋" w:hAnsi="仿宋" w:eastAsia="仿宋" w:cs="宋体"/>
                <w:bCs/>
                <w:color w:val="000000"/>
                <w:szCs w:val="21"/>
              </w:rPr>
              <w:t>516.89</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二、外交支出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25</w:t>
            </w:r>
          </w:p>
        </w:tc>
        <w:tc>
          <w:tcPr>
            <w:tcW w:w="1295" w:type="dxa"/>
            <w:gridSpan w:val="3"/>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bCs/>
                <w:szCs w:val="21"/>
              </w:rPr>
            </w:pPr>
            <w:r>
              <w:rPr>
                <w:rFonts w:hint="eastAsia" w:ascii="仿宋" w:hAnsi="仿宋" w:eastAsia="仿宋" w:cs="宋体"/>
                <w:bCs/>
                <w:color w:val="000000"/>
                <w:szCs w:val="21"/>
              </w:rPr>
              <w:t>516.89</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b/>
                <w:color w:val="000000"/>
                <w:szCs w:val="21"/>
              </w:rPr>
            </w:pPr>
            <w:r>
              <w:rPr>
                <w:rFonts w:hint="eastAsia" w:ascii="仿宋_GB2312" w:hAnsi="仿宋_GB2312" w:eastAsia="仿宋_GB2312" w:cs="仿宋_GB2312"/>
                <w:color w:val="000000"/>
                <w:szCs w:val="21"/>
              </w:rPr>
              <w:t>516.89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b/>
                <w:color w:val="000000"/>
                <w:szCs w:val="21"/>
              </w:rPr>
            </w:pPr>
            <w:r>
              <w:rPr>
                <w:rFonts w:hint="eastAsia" w:ascii="仿宋_GB2312" w:hAnsi="仿宋_GB2312" w:eastAsia="仿宋_GB2312" w:cs="仿宋_GB2312"/>
                <w:bCs/>
                <w:color w:val="000000"/>
                <w:szCs w:val="21"/>
              </w:rPr>
              <w:t>516.89</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年初财政拨款结转和结余</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295" w:type="dxa"/>
            <w:gridSpan w:val="3"/>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bCs/>
                <w:szCs w:val="21"/>
              </w:rPr>
            </w:pPr>
            <w:r>
              <w:rPr>
                <w:rFonts w:hint="eastAsia" w:ascii="仿宋" w:hAnsi="仿宋" w:eastAsia="仿宋" w:cs="宋体"/>
                <w:bCs/>
                <w:color w:val="000000"/>
                <w:szCs w:val="21"/>
              </w:rPr>
              <w:t>519.89</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年末财政拨款结转和结余</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r>
              <w:rPr>
                <w:rFonts w:ascii="仿宋" w:hAnsi="仿宋" w:eastAsia="仿宋" w:cs="宋体"/>
                <w:bCs/>
                <w:color w:val="000000"/>
                <w:szCs w:val="21"/>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r>
              <w:rPr>
                <w:rFonts w:ascii="仿宋" w:hAnsi="仿宋" w:eastAsia="仿宋" w:cs="宋体"/>
                <w:bCs/>
                <w:color w:val="000000"/>
                <w:szCs w:val="21"/>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w:t>
            </w:r>
          </w:p>
        </w:tc>
        <w:tc>
          <w:tcPr>
            <w:tcW w:w="1295"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Cs/>
                <w:color w:val="000000"/>
                <w:szCs w:val="21"/>
              </w:rPr>
            </w:pPr>
            <w:r>
              <w:rPr>
                <w:rFonts w:hint="eastAsia" w:ascii="仿宋" w:hAnsi="仿宋" w:eastAsia="仿宋" w:cs="宋体"/>
                <w:bCs/>
                <w:color w:val="000000"/>
                <w:szCs w:val="21"/>
              </w:rPr>
              <w:t>516.89</w:t>
            </w:r>
          </w:p>
        </w:tc>
        <w:tc>
          <w:tcPr>
            <w:tcW w:w="2265"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2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60</w:t>
            </w:r>
          </w:p>
        </w:tc>
        <w:tc>
          <w:tcPr>
            <w:tcW w:w="1295" w:type="dxa"/>
            <w:gridSpan w:val="3"/>
            <w:tcBorders>
              <w:top w:val="single" w:color="000000" w:sz="4" w:space="0"/>
              <w:left w:val="single" w:color="000000" w:sz="4" w:space="0"/>
              <w:bottom w:val="single" w:color="000000" w:sz="12" w:space="0"/>
              <w:right w:val="single" w:color="000000" w:sz="4" w:space="0"/>
            </w:tcBorders>
          </w:tcPr>
          <w:p>
            <w:pPr>
              <w:jc w:val="right"/>
              <w:rPr>
                <w:rFonts w:ascii="仿宋" w:hAnsi="仿宋" w:eastAsia="仿宋"/>
                <w:szCs w:val="21"/>
              </w:rPr>
            </w:pPr>
            <w:r>
              <w:rPr>
                <w:rFonts w:hint="eastAsia" w:ascii="仿宋" w:hAnsi="仿宋" w:eastAsia="仿宋"/>
                <w:szCs w:val="21"/>
              </w:rPr>
              <w:t>516.89</w:t>
            </w:r>
          </w:p>
        </w:tc>
        <w:tc>
          <w:tcPr>
            <w:tcW w:w="1295" w:type="dxa"/>
            <w:gridSpan w:val="3"/>
            <w:tcBorders>
              <w:top w:val="single" w:color="000000" w:sz="4" w:space="0"/>
              <w:left w:val="single" w:color="000000" w:sz="4" w:space="0"/>
              <w:bottom w:val="single" w:color="000000" w:sz="12" w:space="0"/>
              <w:right w:val="single" w:color="000000" w:sz="4" w:space="0"/>
            </w:tcBorders>
          </w:tcPr>
          <w:p>
            <w:pPr>
              <w:jc w:val="right"/>
              <w:rPr>
                <w:rFonts w:ascii="仿宋" w:hAnsi="仿宋" w:eastAsia="仿宋"/>
                <w:szCs w:val="21"/>
              </w:rPr>
            </w:pPr>
            <w:r>
              <w:rPr>
                <w:rFonts w:hint="eastAsia" w:ascii="仿宋" w:hAnsi="仿宋" w:eastAsia="仿宋"/>
                <w:szCs w:val="21"/>
              </w:rPr>
              <w:t>516.89</w:t>
            </w:r>
          </w:p>
        </w:tc>
        <w:tc>
          <w:tcPr>
            <w:tcW w:w="1300" w:type="dxa"/>
            <w:gridSpan w:val="2"/>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495" w:hRule="atLeast"/>
        </w:trPr>
        <w:tc>
          <w:tcPr>
            <w:tcW w:w="10365" w:type="dxa"/>
            <w:gridSpan w:val="2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注：本表反映部门本年度一般公共预算财政拨款和政府性基金预算财政拨款的总收入和年末结转结余情况。</w:t>
            </w:r>
            <w:r>
              <w:rPr>
                <w:rFonts w:ascii="仿宋" w:hAnsi="仿宋" w:eastAsia="仿宋" w:cs="宋体"/>
                <w:color w:val="000000"/>
                <w:kern w:val="0"/>
                <w:sz w:val="16"/>
                <w:szCs w:val="16"/>
              </w:rPr>
              <w:t xml:space="preserve">             </w:t>
            </w:r>
          </w:p>
        </w:tc>
      </w:tr>
      <w:tr>
        <w:tblPrEx>
          <w:tblLayout w:type="fixed"/>
          <w:tblCellMar>
            <w:top w:w="15" w:type="dxa"/>
            <w:left w:w="15" w:type="dxa"/>
            <w:bottom w:w="15" w:type="dxa"/>
            <w:right w:w="15" w:type="dxa"/>
          </w:tblCellMar>
        </w:tblPrEx>
        <w:trPr>
          <w:gridAfter w:val="1"/>
          <w:wAfter w:w="30" w:type="dxa"/>
          <w:trHeight w:val="375" w:hRule="atLeast"/>
        </w:trPr>
        <w:tc>
          <w:tcPr>
            <w:tcW w:w="10335" w:type="dxa"/>
            <w:gridSpan w:val="21"/>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b/>
                <w:bCs/>
                <w:color w:val="000000"/>
                <w:kern w:val="0"/>
                <w:sz w:val="28"/>
                <w:szCs w:val="28"/>
              </w:rPr>
              <w:t>一般公共预算支出预算表</w:t>
            </w:r>
          </w:p>
        </w:tc>
      </w:tr>
      <w:tr>
        <w:tblPrEx>
          <w:tblLayout w:type="fixed"/>
          <w:tblCellMar>
            <w:top w:w="15" w:type="dxa"/>
            <w:left w:w="15" w:type="dxa"/>
            <w:bottom w:w="15" w:type="dxa"/>
            <w:right w:w="15" w:type="dxa"/>
          </w:tblCellMar>
        </w:tblPrEx>
        <w:trPr>
          <w:gridAfter w:val="1"/>
          <w:wAfter w:w="30" w:type="dxa"/>
          <w:trHeight w:val="285" w:hRule="atLeast"/>
        </w:trPr>
        <w:tc>
          <w:tcPr>
            <w:tcW w:w="2055" w:type="dxa"/>
            <w:gridSpan w:val="2"/>
            <w:vAlign w:val="center"/>
          </w:tcPr>
          <w:p>
            <w:pPr>
              <w:rPr>
                <w:rFonts w:ascii="仿宋" w:hAnsi="仿宋" w:eastAsia="仿宋" w:cs="宋体"/>
                <w:color w:val="000000"/>
                <w:sz w:val="16"/>
                <w:szCs w:val="16"/>
              </w:rPr>
            </w:pP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05</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gridAfter w:val="1"/>
          <w:wAfter w:w="30" w:type="dxa"/>
          <w:trHeight w:val="270" w:hRule="atLeast"/>
        </w:trPr>
        <w:tc>
          <w:tcPr>
            <w:tcW w:w="2055" w:type="dxa"/>
            <w:gridSpan w:val="2"/>
            <w:vAlign w:val="center"/>
          </w:tcPr>
          <w:p>
            <w:pPr>
              <w:rPr>
                <w:rFonts w:ascii="仿宋" w:hAnsi="仿宋" w:eastAsia="仿宋" w:cs="宋体"/>
                <w:color w:val="000000"/>
                <w:sz w:val="16"/>
                <w:szCs w:val="16"/>
              </w:rPr>
            </w:pP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8"/>
                <w:szCs w:val="18"/>
              </w:rPr>
            </w:pPr>
            <w:r>
              <w:rPr>
                <w:rFonts w:hint="eastAsia" w:ascii="仿宋" w:hAnsi="仿宋" w:eastAsia="仿宋" w:cs="宋体"/>
                <w:b/>
                <w:color w:val="000000"/>
                <w:kern w:val="0"/>
                <w:sz w:val="18"/>
                <w:szCs w:val="18"/>
              </w:rPr>
              <w:t>项　　目</w:t>
            </w:r>
          </w:p>
        </w:tc>
        <w:tc>
          <w:tcPr>
            <w:tcW w:w="2160" w:type="dxa"/>
            <w:gridSpan w:val="4"/>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8"/>
                <w:szCs w:val="18"/>
              </w:rPr>
            </w:pPr>
            <w:r>
              <w:rPr>
                <w:rFonts w:hint="eastAsia" w:ascii="仿宋" w:hAnsi="仿宋" w:eastAsia="仿宋" w:cs="宋体"/>
                <w:b/>
                <w:color w:val="000000"/>
                <w:kern w:val="0"/>
                <w:sz w:val="18"/>
                <w:szCs w:val="18"/>
              </w:rPr>
              <w:t>本年支出合计</w:t>
            </w:r>
          </w:p>
        </w:tc>
        <w:tc>
          <w:tcPr>
            <w:tcW w:w="2160" w:type="dxa"/>
            <w:gridSpan w:val="8"/>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8"/>
                <w:szCs w:val="18"/>
              </w:rPr>
            </w:pPr>
            <w:r>
              <w:rPr>
                <w:rFonts w:hint="eastAsia" w:ascii="仿宋" w:hAnsi="仿宋" w:eastAsia="仿宋" w:cs="宋体"/>
                <w:b/>
                <w:color w:val="000000"/>
                <w:kern w:val="0"/>
                <w:sz w:val="18"/>
                <w:szCs w:val="18"/>
              </w:rPr>
              <w:t>基本支出</w:t>
            </w:r>
          </w:p>
        </w:tc>
        <w:tc>
          <w:tcPr>
            <w:tcW w:w="216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8"/>
                <w:szCs w:val="18"/>
              </w:rPr>
            </w:pPr>
            <w:r>
              <w:rPr>
                <w:rFonts w:hint="eastAsia" w:ascii="仿宋" w:hAnsi="仿宋" w:eastAsia="仿宋" w:cs="宋体"/>
                <w:b/>
                <w:color w:val="000000"/>
                <w:kern w:val="0"/>
                <w:sz w:val="18"/>
                <w:szCs w:val="18"/>
              </w:rPr>
              <w:t>项目支出</w:t>
            </w:r>
          </w:p>
        </w:tc>
      </w:tr>
      <w:tr>
        <w:tblPrEx>
          <w:tblLayout w:type="fixed"/>
        </w:tblPrEx>
        <w:trPr>
          <w:gridAfter w:val="1"/>
          <w:wAfter w:w="30" w:type="dxa"/>
          <w:trHeight w:val="6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8"/>
                <w:szCs w:val="18"/>
              </w:rPr>
            </w:pPr>
            <w:r>
              <w:rPr>
                <w:rFonts w:hint="eastAsia" w:ascii="仿宋" w:hAnsi="仿宋" w:eastAsia="仿宋" w:cs="宋体"/>
                <w:b/>
                <w:color w:val="000000"/>
                <w:kern w:val="0"/>
                <w:sz w:val="18"/>
                <w:szCs w:val="18"/>
              </w:rPr>
              <w:t>功能分类</w:t>
            </w:r>
            <w:r>
              <w:rPr>
                <w:rFonts w:ascii="仿宋" w:hAnsi="仿宋" w:eastAsia="仿宋" w:cs="宋体"/>
                <w:b/>
                <w:color w:val="000000"/>
                <w:kern w:val="0"/>
                <w:sz w:val="18"/>
                <w:szCs w:val="18"/>
              </w:rPr>
              <w:br w:type="textWrapping"/>
            </w:r>
            <w:r>
              <w:rPr>
                <w:rFonts w:hint="eastAsia" w:ascii="仿宋" w:hAnsi="仿宋" w:eastAsia="仿宋" w:cs="宋体"/>
                <w:b/>
                <w:color w:val="000000"/>
                <w:kern w:val="0"/>
                <w:sz w:val="18"/>
                <w:szCs w:val="18"/>
              </w:rPr>
              <w:t>科目编码</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8"/>
                <w:szCs w:val="18"/>
              </w:rPr>
            </w:pPr>
            <w:r>
              <w:rPr>
                <w:rFonts w:hint="eastAsia" w:ascii="仿宋" w:hAnsi="仿宋" w:eastAsia="仿宋" w:cs="宋体"/>
                <w:b/>
                <w:color w:val="000000"/>
                <w:kern w:val="0"/>
                <w:sz w:val="18"/>
                <w:szCs w:val="18"/>
              </w:rPr>
              <w:t>科目名称</w:t>
            </w:r>
          </w:p>
        </w:tc>
        <w:tc>
          <w:tcPr>
            <w:tcW w:w="2160" w:type="dxa"/>
            <w:gridSpan w:val="4"/>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8"/>
                <w:szCs w:val="18"/>
              </w:rPr>
            </w:pPr>
          </w:p>
        </w:tc>
        <w:tc>
          <w:tcPr>
            <w:tcW w:w="2160" w:type="dxa"/>
            <w:gridSpan w:val="8"/>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8"/>
                <w:szCs w:val="18"/>
              </w:rPr>
            </w:pPr>
          </w:p>
        </w:tc>
        <w:tc>
          <w:tcPr>
            <w:tcW w:w="216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8"/>
                <w:szCs w:val="18"/>
              </w:rPr>
            </w:pP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516.89</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222.29</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294.6</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_GB2312" w:hAnsi="仿宋_GB2312" w:eastAsia="仿宋_GB2312" w:cs="仿宋_GB2312"/>
                <w:bCs/>
                <w:color w:val="000000"/>
                <w:kern w:val="0"/>
                <w:sz w:val="18"/>
                <w:szCs w:val="18"/>
              </w:rPr>
              <w:t>2010308</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_GB2312" w:hAnsi="仿宋_GB2312" w:eastAsia="仿宋_GB2312" w:cs="仿宋_GB2312"/>
                <w:bCs/>
                <w:color w:val="000000"/>
                <w:sz w:val="18"/>
                <w:szCs w:val="18"/>
              </w:rPr>
              <w:t>信访事务</w:t>
            </w:r>
          </w:p>
        </w:tc>
        <w:tc>
          <w:tcPr>
            <w:tcW w:w="2160" w:type="dxa"/>
            <w:gridSpan w:val="4"/>
            <w:tcBorders>
              <w:top w:val="single" w:color="000000" w:sz="4" w:space="0"/>
              <w:left w:val="single" w:color="000000" w:sz="4" w:space="0"/>
              <w:bottom w:val="single" w:color="000000" w:sz="4" w:space="0"/>
              <w:right w:val="single" w:color="000000" w:sz="4" w:space="0"/>
            </w:tcBorders>
          </w:tcPr>
          <w:p>
            <w:pPr>
              <w:jc w:val="right"/>
              <w:rPr>
                <w:rFonts w:ascii="仿宋_GB2312" w:hAnsi="仿宋_GB2312" w:eastAsia="仿宋_GB2312" w:cs="仿宋_GB2312"/>
                <w:szCs w:val="21"/>
              </w:rPr>
            </w:pPr>
            <w:r>
              <w:rPr>
                <w:rFonts w:hint="eastAsia" w:ascii="仿宋_GB2312" w:hAnsi="仿宋_GB2312" w:eastAsia="仿宋_GB2312" w:cs="仿宋_GB2312"/>
                <w:szCs w:val="21"/>
              </w:rPr>
              <w:t>380.94</w:t>
            </w:r>
          </w:p>
        </w:tc>
        <w:tc>
          <w:tcPr>
            <w:tcW w:w="2160" w:type="dxa"/>
            <w:gridSpan w:val="8"/>
            <w:tcBorders>
              <w:top w:val="single" w:color="000000" w:sz="4" w:space="0"/>
              <w:left w:val="single" w:color="000000" w:sz="4" w:space="0"/>
              <w:bottom w:val="single" w:color="000000" w:sz="4" w:space="0"/>
              <w:right w:val="single" w:color="000000" w:sz="4" w:space="0"/>
            </w:tcBorders>
          </w:tcPr>
          <w:p>
            <w:pPr>
              <w:jc w:val="right"/>
              <w:rPr>
                <w:rFonts w:ascii="仿宋_GB2312" w:hAnsi="仿宋_GB2312" w:eastAsia="仿宋_GB2312" w:cs="仿宋_GB2312"/>
                <w:szCs w:val="21"/>
              </w:rPr>
            </w:pPr>
            <w:r>
              <w:rPr>
                <w:rFonts w:hint="eastAsia" w:ascii="仿宋_GB2312" w:hAnsi="仿宋_GB2312" w:eastAsia="仿宋_GB2312" w:cs="仿宋_GB2312"/>
                <w:szCs w:val="21"/>
              </w:rPr>
              <w:t>86.34</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294.6</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kern w:val="0"/>
                <w:sz w:val="18"/>
                <w:szCs w:val="18"/>
              </w:rPr>
              <w:t>2010350</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rPr>
              <w:t>事业运行</w:t>
            </w:r>
          </w:p>
        </w:tc>
        <w:tc>
          <w:tcPr>
            <w:tcW w:w="2160" w:type="dxa"/>
            <w:gridSpan w:val="4"/>
            <w:tcBorders>
              <w:top w:val="single" w:color="000000" w:sz="4" w:space="0"/>
              <w:left w:val="single" w:color="000000" w:sz="4" w:space="0"/>
              <w:bottom w:val="single" w:color="000000" w:sz="4" w:space="0"/>
              <w:right w:val="single" w:color="000000" w:sz="4" w:space="0"/>
            </w:tcBorders>
          </w:tcPr>
          <w:p>
            <w:pPr>
              <w:jc w:val="right"/>
              <w:rPr>
                <w:rFonts w:ascii="仿宋_GB2312" w:hAnsi="仿宋_GB2312" w:eastAsia="仿宋_GB2312" w:cs="仿宋_GB2312"/>
                <w:szCs w:val="21"/>
              </w:rPr>
            </w:pPr>
            <w:r>
              <w:rPr>
                <w:rFonts w:hint="eastAsia" w:ascii="仿宋_GB2312" w:hAnsi="仿宋_GB2312" w:eastAsia="仿宋_GB2312" w:cs="仿宋_GB2312"/>
                <w:szCs w:val="21"/>
              </w:rPr>
              <w:t>81.75</w:t>
            </w:r>
          </w:p>
        </w:tc>
        <w:tc>
          <w:tcPr>
            <w:tcW w:w="2160" w:type="dxa"/>
            <w:gridSpan w:val="8"/>
            <w:tcBorders>
              <w:top w:val="single" w:color="000000" w:sz="4" w:space="0"/>
              <w:left w:val="single" w:color="000000" w:sz="4" w:space="0"/>
              <w:bottom w:val="single" w:color="000000" w:sz="4" w:space="0"/>
              <w:right w:val="single" w:color="000000" w:sz="4" w:space="0"/>
            </w:tcBorders>
          </w:tcPr>
          <w:p>
            <w:pPr>
              <w:jc w:val="right"/>
              <w:rPr>
                <w:rFonts w:ascii="仿宋_GB2312" w:hAnsi="仿宋_GB2312" w:eastAsia="仿宋_GB2312" w:cs="仿宋_GB2312"/>
                <w:szCs w:val="21"/>
              </w:rPr>
            </w:pPr>
            <w:r>
              <w:rPr>
                <w:rFonts w:hint="eastAsia" w:ascii="仿宋_GB2312" w:hAnsi="仿宋_GB2312" w:eastAsia="仿宋_GB2312" w:cs="仿宋_GB2312"/>
                <w:szCs w:val="21"/>
              </w:rPr>
              <w:t>81.75</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0</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rPr>
              <w:t>2210201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rPr>
              <w:t>住房公积金</w:t>
            </w:r>
          </w:p>
        </w:tc>
        <w:tc>
          <w:tcPr>
            <w:tcW w:w="2160" w:type="dxa"/>
            <w:gridSpan w:val="4"/>
            <w:tcBorders>
              <w:top w:val="single" w:color="000000" w:sz="4" w:space="0"/>
              <w:left w:val="single" w:color="000000" w:sz="4" w:space="0"/>
              <w:bottom w:val="single" w:color="000000" w:sz="4" w:space="0"/>
              <w:right w:val="single" w:color="000000" w:sz="4" w:space="0"/>
            </w:tcBorders>
          </w:tcPr>
          <w:p>
            <w:pPr>
              <w:jc w:val="right"/>
              <w:rPr>
                <w:rFonts w:ascii="仿宋_GB2312" w:hAnsi="仿宋_GB2312" w:eastAsia="仿宋_GB2312" w:cs="仿宋_GB2312"/>
                <w:szCs w:val="21"/>
              </w:rPr>
            </w:pPr>
            <w:r>
              <w:rPr>
                <w:rFonts w:hint="eastAsia" w:ascii="仿宋_GB2312" w:hAnsi="仿宋_GB2312" w:eastAsia="仿宋_GB2312" w:cs="仿宋_GB2312"/>
                <w:szCs w:val="21"/>
              </w:rPr>
              <w:t>17.00</w:t>
            </w:r>
          </w:p>
        </w:tc>
        <w:tc>
          <w:tcPr>
            <w:tcW w:w="2160" w:type="dxa"/>
            <w:gridSpan w:val="8"/>
            <w:tcBorders>
              <w:top w:val="single" w:color="000000" w:sz="4" w:space="0"/>
              <w:left w:val="single" w:color="000000" w:sz="4" w:space="0"/>
              <w:bottom w:val="single" w:color="000000" w:sz="4" w:space="0"/>
              <w:right w:val="single" w:color="000000" w:sz="4" w:space="0"/>
            </w:tcBorders>
          </w:tcPr>
          <w:p>
            <w:pPr>
              <w:jc w:val="right"/>
              <w:rPr>
                <w:rFonts w:ascii="仿宋_GB2312" w:hAnsi="仿宋_GB2312" w:eastAsia="仿宋_GB2312" w:cs="仿宋_GB2312"/>
                <w:szCs w:val="21"/>
              </w:rPr>
            </w:pPr>
            <w:r>
              <w:rPr>
                <w:rFonts w:hint="eastAsia" w:ascii="仿宋_GB2312" w:hAnsi="仿宋_GB2312" w:eastAsia="仿宋_GB2312" w:cs="仿宋_GB2312"/>
                <w:szCs w:val="21"/>
              </w:rPr>
              <w:t>17.00</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0</w:t>
            </w:r>
          </w:p>
        </w:tc>
      </w:tr>
      <w:tr>
        <w:tblPrEx>
          <w:tblLayout w:type="fixed"/>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rPr>
              <w:t>2080505</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rPr>
              <w:t>基本养老金</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27.90</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27.90</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rPr>
              <w:t>2101101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rPr>
              <w:t>行政医疗</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3.77</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3.77</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rPr>
              <w:t>2101101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rPr>
              <w:t>事业医疗</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4.33</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4.33</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rPr>
              <w:t>2082701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rPr>
              <w:t>失业保险</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0.49</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0.49</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kern w:val="0"/>
                <w:sz w:val="18"/>
                <w:szCs w:val="18"/>
              </w:rPr>
              <w:t>2082702</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kern w:val="0"/>
                <w:sz w:val="18"/>
                <w:szCs w:val="18"/>
              </w:rPr>
              <w:t>工伤保险</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0.25</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0.25</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kern w:val="0"/>
                <w:sz w:val="18"/>
                <w:szCs w:val="18"/>
              </w:rPr>
              <w:t>2082703</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kern w:val="0"/>
                <w:sz w:val="18"/>
                <w:szCs w:val="18"/>
              </w:rPr>
              <w:t>生育保险</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0.46</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0.46</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_GB2312" w:hAnsi="仿宋_GB2312" w:eastAsia="仿宋_GB2312" w:cs="仿宋_GB2312"/>
                <w:color w:val="000000"/>
                <w:szCs w:val="21"/>
              </w:rPr>
            </w:pPr>
          </w:p>
        </w:tc>
      </w:tr>
      <w:tr>
        <w:tblPrEx>
          <w:tblLayout w:type="fixed"/>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Cs w:val="21"/>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Cs w:val="21"/>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_GB2312" w:hAnsi="仿宋_GB2312" w:eastAsia="仿宋_GB2312" w:cs="仿宋_GB2312"/>
                <w:color w:val="000000"/>
                <w:szCs w:val="21"/>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gridAfter w:val="1"/>
          <w:wAfter w:w="30" w:type="dxa"/>
          <w:trHeight w:val="600" w:hRule="atLeast"/>
        </w:trPr>
        <w:tc>
          <w:tcPr>
            <w:tcW w:w="10335" w:type="dxa"/>
            <w:gridSpan w:val="21"/>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注：本表反映部门本年度一般公共预算财政拨款实际支出情况。</w:t>
            </w:r>
            <w:r>
              <w:rPr>
                <w:rFonts w:ascii="仿宋" w:hAnsi="仿宋" w:eastAsia="仿宋" w:cs="宋体"/>
                <w:color w:val="000000"/>
                <w:kern w:val="0"/>
                <w:sz w:val="16"/>
                <w:szCs w:val="16"/>
              </w:rPr>
              <w:t xml:space="preserve">             </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65" w:type="dxa"/>
        <w:tblInd w:w="-1081" w:type="dxa"/>
        <w:tblLayout w:type="fixed"/>
        <w:tblCellMar>
          <w:top w:w="15" w:type="dxa"/>
          <w:left w:w="15" w:type="dxa"/>
          <w:bottom w:w="15" w:type="dxa"/>
          <w:right w:w="15" w:type="dxa"/>
        </w:tblCellMar>
      </w:tblPr>
      <w:tblGrid>
        <w:gridCol w:w="670"/>
        <w:gridCol w:w="1165"/>
        <w:gridCol w:w="1794"/>
        <w:gridCol w:w="1620"/>
        <w:gridCol w:w="754"/>
        <w:gridCol w:w="117"/>
        <w:gridCol w:w="1677"/>
        <w:gridCol w:w="993"/>
        <w:gridCol w:w="1575"/>
      </w:tblGrid>
      <w:tr>
        <w:tblPrEx>
          <w:tblLayout w:type="fixed"/>
          <w:tblCellMar>
            <w:top w:w="15" w:type="dxa"/>
            <w:left w:w="15" w:type="dxa"/>
            <w:bottom w:w="15" w:type="dxa"/>
            <w:right w:w="15" w:type="dxa"/>
          </w:tblCellMar>
        </w:tblPrEx>
        <w:trPr>
          <w:trHeight w:val="375" w:hRule="atLeast"/>
        </w:trPr>
        <w:tc>
          <w:tcPr>
            <w:tcW w:w="10365" w:type="dxa"/>
            <w:gridSpan w:val="9"/>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b/>
                <w:bCs/>
                <w:color w:val="000000"/>
                <w:kern w:val="0"/>
                <w:sz w:val="28"/>
                <w:szCs w:val="28"/>
              </w:rPr>
              <w:t>一般公共预算财政拨款基本支出预算表</w:t>
            </w:r>
          </w:p>
        </w:tc>
      </w:tr>
      <w:tr>
        <w:tblPrEx>
          <w:tblLayout w:type="fixed"/>
          <w:tblCellMar>
            <w:top w:w="15" w:type="dxa"/>
            <w:left w:w="15" w:type="dxa"/>
            <w:bottom w:w="15" w:type="dxa"/>
            <w:right w:w="15" w:type="dxa"/>
          </w:tblCellMar>
        </w:tblPrEx>
        <w:trPr>
          <w:trHeight w:val="285" w:hRule="atLeast"/>
        </w:trPr>
        <w:tc>
          <w:tcPr>
            <w:tcW w:w="1835" w:type="dxa"/>
            <w:gridSpan w:val="2"/>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06</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835" w:type="dxa"/>
            <w:gridSpan w:val="2"/>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49"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Cs w:val="21"/>
              </w:rPr>
              <w:t>人员经费</w:t>
            </w:r>
          </w:p>
        </w:tc>
        <w:tc>
          <w:tcPr>
            <w:tcW w:w="5116"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Cs w:val="21"/>
              </w:rPr>
              <w:t>公用经费</w:t>
            </w:r>
          </w:p>
        </w:tc>
      </w:tr>
      <w:tr>
        <w:tblPrEx>
          <w:tblLayout w:type="fixed"/>
          <w:tblCellMar>
            <w:top w:w="15" w:type="dxa"/>
            <w:left w:w="15" w:type="dxa"/>
            <w:bottom w:w="15" w:type="dxa"/>
            <w:right w:w="15" w:type="dxa"/>
          </w:tblCellMar>
        </w:tblPrEx>
        <w:trPr>
          <w:trHeight w:val="6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r>
              <w:rPr>
                <w:rFonts w:hint="eastAsia" w:ascii="仿宋" w:hAnsi="仿宋" w:eastAsia="仿宋" w:cs="宋体"/>
                <w:bCs/>
                <w:color w:val="000000"/>
                <w:szCs w:val="21"/>
              </w:rPr>
              <w:t>202.02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color w:val="000000"/>
                <w:sz w:val="16"/>
                <w:szCs w:val="16"/>
              </w:rPr>
              <w:t>302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Cs w:val="21"/>
              </w:rPr>
            </w:pPr>
            <w:r>
              <w:rPr>
                <w:rFonts w:hint="eastAsia" w:ascii="仿宋" w:hAnsi="仿宋" w:eastAsia="仿宋" w:cs="宋体"/>
                <w:bCs/>
                <w:color w:val="000000"/>
                <w:szCs w:val="21"/>
              </w:rPr>
              <w:t>20.27</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r>
              <w:rPr>
                <w:rFonts w:hint="eastAsia" w:ascii="仿宋" w:hAnsi="仿宋" w:eastAsia="仿宋" w:cs="宋体"/>
                <w:bCs/>
                <w:color w:val="000000"/>
                <w:szCs w:val="21"/>
              </w:rPr>
              <w:t>134.92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hint="eastAsia" w:ascii="仿宋" w:hAnsi="仿宋" w:eastAsia="仿宋" w:cs="宋体"/>
                <w:color w:val="000000"/>
                <w:szCs w:val="21"/>
              </w:rPr>
              <w:t>2.0</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印刷费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r>
              <w:rPr>
                <w:rFonts w:hint="eastAsia" w:ascii="仿宋" w:hAnsi="仿宋" w:eastAsia="仿宋" w:cs="宋体"/>
                <w:bCs/>
                <w:color w:val="000000"/>
                <w:szCs w:val="21"/>
              </w:rPr>
              <w:t>3.3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咨询费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手续费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水费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Cs w:val="21"/>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r>
              <w:rPr>
                <w:rFonts w:hint="eastAsia" w:ascii="仿宋" w:hAnsi="仿宋" w:eastAsia="仿宋" w:cs="宋体"/>
                <w:bCs/>
                <w:color w:val="000000"/>
                <w:szCs w:val="21"/>
              </w:rPr>
              <w:t>9.60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r>
              <w:rPr>
                <w:rFonts w:hint="eastAsia" w:ascii="仿宋" w:hAnsi="仿宋" w:eastAsia="仿宋" w:cs="宋体"/>
                <w:bCs/>
                <w:color w:val="000000"/>
                <w:szCs w:val="21"/>
              </w:rPr>
              <w:t>27.90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邮电费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hint="eastAsia" w:ascii="仿宋" w:hAnsi="仿宋" w:eastAsia="仿宋" w:cs="宋体"/>
                <w:color w:val="000000"/>
                <w:szCs w:val="21"/>
              </w:rPr>
              <w:t>0.27</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取暖费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30110</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　基本医疗保险缴费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r>
              <w:rPr>
                <w:rFonts w:hint="eastAsia" w:ascii="仿宋" w:hAnsi="仿宋" w:eastAsia="仿宋" w:cs="宋体"/>
                <w:bCs/>
                <w:color w:val="000000"/>
                <w:szCs w:val="21"/>
              </w:rPr>
              <w:t>8.10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30112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　其它社保缴费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r>
              <w:rPr>
                <w:rFonts w:hint="eastAsia" w:ascii="仿宋" w:hAnsi="仿宋" w:eastAsia="仿宋" w:cs="宋体"/>
                <w:bCs/>
                <w:color w:val="000000"/>
                <w:szCs w:val="21"/>
              </w:rPr>
              <w:t>1.20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30113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　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r>
              <w:rPr>
                <w:rFonts w:hint="eastAsia" w:ascii="仿宋" w:hAnsi="仿宋" w:eastAsia="仿宋" w:cs="宋体"/>
                <w:bCs/>
                <w:color w:val="000000"/>
                <w:szCs w:val="21"/>
              </w:rPr>
              <w:t>17.00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物业管理费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差旅费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因公出国</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境</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费用</w:t>
            </w:r>
            <w:r>
              <w:rPr>
                <w:rFonts w:ascii="仿宋" w:hAnsi="仿宋" w:eastAsia="仿宋" w:cs="宋体"/>
                <w:color w:val="000000"/>
                <w:kern w:val="0"/>
                <w:sz w:val="16"/>
                <w:szCs w:val="16"/>
              </w:rPr>
              <w:t xml:space="preserve"> </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维修</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护</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退职</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役</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租赁费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会议费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hint="eastAsia" w:ascii="仿宋" w:hAnsi="仿宋" w:eastAsia="仿宋" w:cs="宋体"/>
                <w:color w:val="000000"/>
                <w:szCs w:val="21"/>
              </w:rPr>
              <w:t>5.0</w:t>
            </w: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培训费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公务接待费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hint="eastAsia" w:ascii="仿宋" w:hAnsi="仿宋" w:eastAsia="仿宋" w:cs="宋体"/>
                <w:color w:val="000000"/>
                <w:szCs w:val="21"/>
              </w:rPr>
              <w:t>10.0</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专用材料费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被装购置费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专用燃料费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30310</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劳务费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人人农业补贴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委托业务费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工会经费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福利费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公务用车运行维护费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hint="eastAsia" w:ascii="仿宋" w:hAnsi="仿宋" w:eastAsia="仿宋" w:cs="宋体"/>
                <w:color w:val="000000"/>
                <w:szCs w:val="21"/>
              </w:rPr>
              <w:t>3.0</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30240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税金及附加费用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Layout w:type="fixed"/>
        </w:tblPrEx>
        <w:trPr>
          <w:trHeight w:val="300" w:hRule="atLeast"/>
        </w:trPr>
        <w:tc>
          <w:tcPr>
            <w:tcW w:w="3629"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人员经费合计：</w:t>
            </w:r>
          </w:p>
        </w:tc>
        <w:tc>
          <w:tcPr>
            <w:tcW w:w="1620" w:type="dxa"/>
            <w:tcBorders>
              <w:top w:val="single" w:color="000000" w:sz="4" w:space="0"/>
              <w:left w:val="single" w:color="000000" w:sz="4" w:space="0"/>
              <w:bottom w:val="single" w:color="000000" w:sz="12" w:space="0"/>
              <w:right w:val="single" w:color="000000" w:sz="4" w:space="0"/>
            </w:tcBorders>
            <w:vAlign w:val="center"/>
          </w:tcPr>
          <w:p>
            <w:pPr>
              <w:jc w:val="center"/>
              <w:rPr>
                <w:rFonts w:ascii="仿宋" w:hAnsi="仿宋" w:eastAsia="仿宋" w:cs="宋体"/>
                <w:bCs/>
                <w:color w:val="000000"/>
                <w:szCs w:val="21"/>
              </w:rPr>
            </w:pPr>
            <w:r>
              <w:rPr>
                <w:rFonts w:hint="eastAsia" w:ascii="仿宋" w:hAnsi="仿宋" w:eastAsia="仿宋" w:cs="宋体"/>
                <w:bCs/>
                <w:color w:val="000000"/>
                <w:szCs w:val="21"/>
              </w:rPr>
              <w:t>202.02</w:t>
            </w:r>
          </w:p>
        </w:tc>
        <w:tc>
          <w:tcPr>
            <w:tcW w:w="3541"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公用经费合计：</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Cs w:val="21"/>
              </w:rPr>
            </w:pPr>
            <w:r>
              <w:rPr>
                <w:rFonts w:hint="eastAsia" w:ascii="仿宋" w:hAnsi="仿宋" w:eastAsia="仿宋" w:cs="宋体"/>
                <w:color w:val="000000"/>
                <w:szCs w:val="21"/>
              </w:rPr>
              <w:t>20.27</w:t>
            </w:r>
          </w:p>
        </w:tc>
      </w:tr>
    </w:tbl>
    <w:p>
      <w:pPr>
        <w:spacing w:line="360" w:lineRule="auto"/>
        <w:jc w:val="left"/>
        <w:rPr>
          <w:rFonts w:ascii="仿宋" w:hAnsi="仿宋" w:eastAsia="仿宋" w:cs="隶书"/>
          <w:sz w:val="28"/>
          <w:szCs w:val="28"/>
        </w:rPr>
        <w:sectPr>
          <w:pgSz w:w="11906" w:h="16838"/>
          <w:pgMar w:top="1440" w:right="1800" w:bottom="1440" w:left="1800" w:header="851" w:footer="992" w:gutter="0"/>
          <w:pgNumType w:fmt="numberInDash"/>
          <w:cols w:space="425" w:num="1"/>
          <w:docGrid w:type="lines" w:linePitch="312" w:charSpace="0"/>
        </w:sectPr>
      </w:pPr>
    </w:p>
    <w:tbl>
      <w:tblPr>
        <w:tblStyle w:val="6"/>
        <w:tblW w:w="10350" w:type="dxa"/>
        <w:tblInd w:w="-1081" w:type="dxa"/>
        <w:tblLayout w:type="fixed"/>
        <w:tblCellMar>
          <w:top w:w="15" w:type="dxa"/>
          <w:left w:w="15" w:type="dxa"/>
          <w:bottom w:w="15" w:type="dxa"/>
          <w:right w:w="15" w:type="dxa"/>
        </w:tblCellMar>
      </w:tblPr>
      <w:tblGrid>
        <w:gridCol w:w="840"/>
        <w:gridCol w:w="870"/>
        <w:gridCol w:w="69"/>
        <w:gridCol w:w="693"/>
        <w:gridCol w:w="93"/>
        <w:gridCol w:w="600"/>
        <w:gridCol w:w="270"/>
        <w:gridCol w:w="423"/>
        <w:gridCol w:w="447"/>
        <w:gridCol w:w="246"/>
        <w:gridCol w:w="624"/>
        <w:gridCol w:w="767"/>
        <w:gridCol w:w="118"/>
        <w:gridCol w:w="575"/>
        <w:gridCol w:w="280"/>
        <w:gridCol w:w="413"/>
        <w:gridCol w:w="457"/>
        <w:gridCol w:w="236"/>
        <w:gridCol w:w="619"/>
        <w:gridCol w:w="74"/>
        <w:gridCol w:w="766"/>
        <w:gridCol w:w="870"/>
      </w:tblGrid>
      <w:tr>
        <w:tblPrEx>
          <w:tblLayout w:type="fixed"/>
          <w:tblCellMar>
            <w:top w:w="15" w:type="dxa"/>
            <w:left w:w="15" w:type="dxa"/>
            <w:bottom w:w="15" w:type="dxa"/>
            <w:right w:w="15" w:type="dxa"/>
          </w:tblCellMar>
        </w:tblPrEx>
        <w:trPr>
          <w:trHeight w:val="375" w:hRule="atLeast"/>
        </w:trPr>
        <w:tc>
          <w:tcPr>
            <w:tcW w:w="10350"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b/>
                <w:bCs/>
                <w:color w:val="000000"/>
                <w:kern w:val="0"/>
                <w:sz w:val="28"/>
                <w:szCs w:val="28"/>
              </w:rPr>
              <w:t>一般公共预算财政拨款“三公”经费支出预算表</w:t>
            </w:r>
          </w:p>
        </w:tc>
      </w:tr>
      <w:tr>
        <w:tblPrEx>
          <w:tblLayout w:type="fixed"/>
          <w:tblCellMar>
            <w:top w:w="15" w:type="dxa"/>
            <w:left w:w="15" w:type="dxa"/>
            <w:bottom w:w="15" w:type="dxa"/>
            <w:right w:w="15" w:type="dxa"/>
          </w:tblCellMar>
        </w:tblPrEx>
        <w:trPr>
          <w:trHeight w:val="285"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07</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175"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8"/>
                <w:szCs w:val="18"/>
              </w:rPr>
              <w:t>201</w:t>
            </w:r>
            <w:r>
              <w:rPr>
                <w:rFonts w:hint="eastAsia" w:ascii="仿宋" w:hAnsi="仿宋" w:eastAsia="仿宋" w:cs="宋体"/>
                <w:b/>
                <w:color w:val="000000"/>
                <w:kern w:val="0"/>
                <w:sz w:val="18"/>
                <w:szCs w:val="18"/>
              </w:rPr>
              <w:t>7年度决算数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8"/>
                <w:szCs w:val="18"/>
              </w:rPr>
              <w:t>201</w:t>
            </w:r>
            <w:r>
              <w:rPr>
                <w:rFonts w:hint="eastAsia" w:ascii="仿宋" w:hAnsi="仿宋" w:eastAsia="仿宋" w:cs="宋体"/>
                <w:b/>
                <w:color w:val="000000"/>
                <w:kern w:val="0"/>
                <w:sz w:val="18"/>
                <w:szCs w:val="18"/>
              </w:rPr>
              <w:t>8年度预算数</w:t>
            </w:r>
          </w:p>
        </w:tc>
      </w:tr>
      <w:tr>
        <w:tblPrEx>
          <w:tblLayout w:type="fixed"/>
          <w:tblCellMar>
            <w:top w:w="15" w:type="dxa"/>
            <w:left w:w="15" w:type="dxa"/>
            <w:bottom w:w="15" w:type="dxa"/>
            <w:right w:w="15" w:type="dxa"/>
          </w:tblCellMar>
        </w:tblPrEx>
        <w:trPr>
          <w:trHeight w:val="600" w:hRule="atLeast"/>
        </w:trPr>
        <w:tc>
          <w:tcPr>
            <w:tcW w:w="840"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3465"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c>
          <w:tcPr>
            <w:tcW w:w="8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3435" w:type="dxa"/>
            <w:gridSpan w:val="7"/>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r>
      <w:tr>
        <w:tblPrEx>
          <w:tblLayout w:type="fixed"/>
        </w:tblPrEx>
        <w:trPr>
          <w:trHeight w:val="600" w:hRule="atLeast"/>
        </w:trPr>
        <w:tc>
          <w:tcPr>
            <w:tcW w:w="84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r>
      <w:tr>
        <w:tblPrEx>
          <w:tblLayout w:type="fixed"/>
          <w:tblCellMar>
            <w:top w:w="15" w:type="dxa"/>
            <w:left w:w="15" w:type="dxa"/>
            <w:bottom w:w="15" w:type="dxa"/>
            <w:right w:w="15" w:type="dxa"/>
          </w:tblCellMar>
        </w:tblPrEx>
        <w:trPr>
          <w:trHeight w:val="300" w:hRule="atLeast"/>
        </w:trPr>
        <w:tc>
          <w:tcPr>
            <w:tcW w:w="8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8"/>
                <w:szCs w:val="18"/>
              </w:rPr>
            </w:pPr>
            <w:r>
              <w:rPr>
                <w:rFonts w:ascii="仿宋" w:hAnsi="仿宋" w:eastAsia="仿宋" w:cs="宋体"/>
                <w:b/>
                <w:color w:val="000000"/>
                <w:kern w:val="0"/>
                <w:sz w:val="18"/>
                <w:szCs w:val="18"/>
              </w:rPr>
              <w:t>1</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kern w:val="0"/>
                <w:sz w:val="18"/>
                <w:szCs w:val="18"/>
              </w:rPr>
              <w:t>2</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kern w:val="0"/>
                <w:sz w:val="18"/>
                <w:szCs w:val="18"/>
              </w:rPr>
              <w:t>3</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kern w:val="0"/>
                <w:sz w:val="18"/>
                <w:szCs w:val="18"/>
              </w:rPr>
              <w:t>4</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kern w:val="0"/>
                <w:sz w:val="18"/>
                <w:szCs w:val="18"/>
              </w:rPr>
              <w:t>5</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kern w:val="0"/>
                <w:sz w:val="18"/>
                <w:szCs w:val="18"/>
              </w:rPr>
              <w:t>6</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8"/>
                <w:szCs w:val="18"/>
              </w:rPr>
            </w:pPr>
            <w:r>
              <w:rPr>
                <w:rFonts w:ascii="仿宋" w:hAnsi="仿宋" w:eastAsia="仿宋" w:cs="宋体"/>
                <w:b/>
                <w:color w:val="000000"/>
                <w:kern w:val="0"/>
                <w:sz w:val="18"/>
                <w:szCs w:val="18"/>
              </w:rPr>
              <w:t>7</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kern w:val="0"/>
                <w:sz w:val="18"/>
                <w:szCs w:val="18"/>
              </w:rPr>
              <w:t>8</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kern w:val="0"/>
                <w:sz w:val="18"/>
                <w:szCs w:val="18"/>
              </w:rPr>
              <w:t>9</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kern w:val="0"/>
                <w:sz w:val="18"/>
                <w:szCs w:val="18"/>
              </w:rPr>
              <w:t>10</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kern w:val="0"/>
                <w:sz w:val="18"/>
                <w:szCs w:val="18"/>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kern w:val="0"/>
                <w:sz w:val="18"/>
                <w:szCs w:val="18"/>
              </w:rPr>
              <w:t>12</w:t>
            </w:r>
          </w:p>
        </w:tc>
      </w:tr>
      <w:tr>
        <w:tblPrEx>
          <w:tblLayout w:type="fixed"/>
          <w:tblCellMar>
            <w:top w:w="15" w:type="dxa"/>
            <w:left w:w="15" w:type="dxa"/>
            <w:bottom w:w="15" w:type="dxa"/>
            <w:right w:w="15" w:type="dxa"/>
          </w:tblCellMar>
        </w:tblPrEx>
        <w:trPr>
          <w:trHeight w:val="600" w:hRule="atLeast"/>
        </w:trPr>
        <w:tc>
          <w:tcPr>
            <w:tcW w:w="84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8"/>
                <w:szCs w:val="18"/>
              </w:rPr>
            </w:pPr>
            <w:r>
              <w:rPr>
                <w:rFonts w:hint="eastAsia" w:ascii="仿宋" w:hAnsi="仿宋" w:eastAsia="仿宋" w:cs="宋体"/>
                <w:b/>
                <w:color w:val="000000"/>
                <w:sz w:val="18"/>
                <w:szCs w:val="18"/>
              </w:rPr>
              <w:t>13</w:t>
            </w:r>
          </w:p>
        </w:tc>
        <w:tc>
          <w:tcPr>
            <w:tcW w:w="87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sz w:val="18"/>
                <w:szCs w:val="18"/>
              </w:rPr>
              <w:t>0</w:t>
            </w:r>
          </w:p>
        </w:tc>
        <w:tc>
          <w:tcPr>
            <w:tcW w:w="85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sz w:val="18"/>
                <w:szCs w:val="18"/>
              </w:rPr>
              <w:t>13</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sz w:val="18"/>
                <w:szCs w:val="18"/>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sz w:val="18"/>
                <w:szCs w:val="18"/>
              </w:rPr>
              <w:t>3</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sz w:val="18"/>
                <w:szCs w:val="18"/>
              </w:rPr>
              <w:t>10</w:t>
            </w: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8"/>
                <w:szCs w:val="18"/>
              </w:rPr>
            </w:pPr>
            <w:r>
              <w:rPr>
                <w:rFonts w:hint="eastAsia" w:ascii="仿宋" w:hAnsi="仿宋" w:eastAsia="仿宋" w:cs="宋体"/>
                <w:b/>
                <w:color w:val="000000"/>
                <w:sz w:val="18"/>
                <w:szCs w:val="18"/>
              </w:rPr>
              <w:t>13</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sz w:val="18"/>
                <w:szCs w:val="18"/>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sz w:val="18"/>
                <w:szCs w:val="18"/>
              </w:rPr>
              <w:t>13</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sz w:val="18"/>
                <w:szCs w:val="18"/>
              </w:rPr>
              <w:t>0</w:t>
            </w:r>
          </w:p>
        </w:tc>
        <w:tc>
          <w:tcPr>
            <w:tcW w:w="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sz w:val="18"/>
                <w:szCs w:val="18"/>
              </w:rPr>
              <w:t>3</w:t>
            </w:r>
          </w:p>
        </w:tc>
        <w:tc>
          <w:tcPr>
            <w:tcW w:w="87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sz w:val="18"/>
                <w:szCs w:val="18"/>
              </w:rPr>
              <w:t>10</w:t>
            </w:r>
          </w:p>
        </w:tc>
      </w:tr>
      <w:tr>
        <w:tblPrEx>
          <w:tblLayout w:type="fixed"/>
          <w:tblCellMar>
            <w:top w:w="15" w:type="dxa"/>
            <w:left w:w="15" w:type="dxa"/>
            <w:bottom w:w="15" w:type="dxa"/>
            <w:right w:w="15" w:type="dxa"/>
          </w:tblCellMar>
        </w:tblPrEx>
        <w:trPr>
          <w:trHeight w:val="600" w:hRule="atLeast"/>
        </w:trPr>
        <w:tc>
          <w:tcPr>
            <w:tcW w:w="10350" w:type="dxa"/>
            <w:gridSpan w:val="22"/>
            <w:vAlign w:val="center"/>
          </w:tcPr>
          <w:tbl>
            <w:tblPr>
              <w:tblStyle w:val="6"/>
              <w:tblpPr w:leftFromText="180" w:rightFromText="180" w:horzAnchor="margin" w:tblpY="540"/>
              <w:tblOverlap w:val="never"/>
              <w:tblW w:w="10290" w:type="dxa"/>
              <w:tblInd w:w="0" w:type="dxa"/>
              <w:tblLayout w:type="fixed"/>
              <w:tblCellMar>
                <w:top w:w="0" w:type="dxa"/>
                <w:left w:w="108" w:type="dxa"/>
                <w:bottom w:w="0" w:type="dxa"/>
                <w:right w:w="108" w:type="dxa"/>
              </w:tblCellMar>
            </w:tblPr>
            <w:tblGrid>
              <w:gridCol w:w="3344"/>
              <w:gridCol w:w="1418"/>
              <w:gridCol w:w="4022"/>
              <w:gridCol w:w="1506"/>
            </w:tblGrid>
            <w:tr>
              <w:tblPrEx>
                <w:tblLayout w:type="fixed"/>
                <w:tblCellMar>
                  <w:top w:w="0" w:type="dxa"/>
                  <w:left w:w="108" w:type="dxa"/>
                  <w:bottom w:w="0" w:type="dxa"/>
                  <w:right w:w="108" w:type="dxa"/>
                </w:tblCellMar>
              </w:tblPrEx>
              <w:trPr>
                <w:trHeight w:val="308" w:hRule="atLeast"/>
              </w:trPr>
              <w:tc>
                <w:tcPr>
                  <w:tcW w:w="3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418"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c>
                <w:tcPr>
                  <w:tcW w:w="4022"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506" w:type="dxa"/>
                  <w:tcBorders>
                    <w:top w:val="single" w:color="000000" w:sz="4" w:space="0"/>
                    <w:left w:val="nil"/>
                    <w:bottom w:val="single" w:color="000000" w:sz="4" w:space="0"/>
                    <w:right w:val="single" w:color="000000" w:sz="8"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一、“三公”经费支出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二、机关运行经费</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（一）支出合计</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（一）行政单位</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（二）参照公务员法管理事业单位</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2．公务用车购置及运行维护费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（1）公务用车购置费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三、国有资产占用情况</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（2）公务用车运行维护费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（一）车辆数合计（辆）</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1．部级领导干部用车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（1）国内接待费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2．一般公务用车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3．一般执法执勤用车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（2）国（境）外接待费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4．特种专业技术用车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（二）相关统计数</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5．其他用车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1．因公出国（境）团组数（个）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（二）单价50万元以上通用设备（台，套）</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2．因公出国（境）人次数（人）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（三）单价100万元以上专用设备（台，套）</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3．公务用车购置数（辆）</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4．公务用车保有量（辆）</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5．国内公务接待批次（个）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6．国内公务接待人次（人）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其中：外事接待人次（人）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7．国（境）外公务接待批次（个）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8"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8．国（境）外公务接待人次（人）</w:t>
                  </w:r>
                </w:p>
              </w:tc>
              <w:tc>
                <w:tcPr>
                  <w:tcW w:w="1418" w:type="dxa"/>
                  <w:tcBorders>
                    <w:top w:val="nil"/>
                    <w:left w:val="nil"/>
                    <w:bottom w:val="single" w:color="000000" w:sz="8"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8"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8"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bl>
          <w:p>
            <w:pPr>
              <w:widowControl/>
              <w:jc w:val="left"/>
              <w:textAlignment w:val="center"/>
              <w:rPr>
                <w:rFonts w:ascii="仿宋" w:hAnsi="仿宋" w:eastAsia="仿宋" w:cs="宋体"/>
                <w:color w:val="000000"/>
                <w:sz w:val="16"/>
                <w:szCs w:val="16"/>
              </w:rPr>
            </w:pPr>
          </w:p>
        </w:tc>
      </w:tr>
    </w:tbl>
    <w:p>
      <w:pPr>
        <w:spacing w:line="360" w:lineRule="auto"/>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35" w:type="dxa"/>
        <w:tblInd w:w="-1074" w:type="dxa"/>
        <w:tblLayout w:type="fixed"/>
        <w:tblCellMar>
          <w:top w:w="15" w:type="dxa"/>
          <w:left w:w="15" w:type="dxa"/>
          <w:bottom w:w="15" w:type="dxa"/>
          <w:right w:w="15" w:type="dxa"/>
        </w:tblCellMar>
      </w:tblPr>
      <w:tblGrid>
        <w:gridCol w:w="825"/>
        <w:gridCol w:w="938"/>
        <w:gridCol w:w="1436"/>
        <w:gridCol w:w="1166"/>
        <w:gridCol w:w="24"/>
        <w:gridCol w:w="1191"/>
        <w:gridCol w:w="833"/>
        <w:gridCol w:w="347"/>
        <w:gridCol w:w="652"/>
        <w:gridCol w:w="528"/>
        <w:gridCol w:w="1180"/>
        <w:gridCol w:w="1215"/>
      </w:tblGrid>
      <w:tr>
        <w:tblPrEx>
          <w:tblLayout w:type="fixed"/>
          <w:tblCellMar>
            <w:top w:w="15" w:type="dxa"/>
            <w:left w:w="15" w:type="dxa"/>
            <w:bottom w:w="15" w:type="dxa"/>
            <w:right w:w="15" w:type="dxa"/>
          </w:tblCellMar>
        </w:tblPrEx>
        <w:trPr>
          <w:trHeight w:val="375" w:hRule="atLeast"/>
        </w:trPr>
        <w:tc>
          <w:tcPr>
            <w:tcW w:w="10335" w:type="dxa"/>
            <w:gridSpan w:val="1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b/>
                <w:bCs/>
                <w:color w:val="000000"/>
                <w:kern w:val="0"/>
                <w:sz w:val="28"/>
                <w:szCs w:val="28"/>
              </w:rPr>
              <w:t>政府性基金预算财政拨款收入支出表</w:t>
            </w:r>
          </w:p>
        </w:tc>
      </w:tr>
      <w:tr>
        <w:tblPrEx>
          <w:tblLayout w:type="fixed"/>
          <w:tblCellMar>
            <w:top w:w="15" w:type="dxa"/>
            <w:left w:w="15" w:type="dxa"/>
            <w:bottom w:w="15" w:type="dxa"/>
            <w:right w:w="15" w:type="dxa"/>
          </w:tblCellMar>
        </w:tblPrEx>
        <w:trPr>
          <w:trHeight w:val="285"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08</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8"/>
                <w:szCs w:val="18"/>
              </w:rPr>
              <w:t>项　　目</w:t>
            </w:r>
          </w:p>
        </w:tc>
        <w:tc>
          <w:tcPr>
            <w:tcW w:w="11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年初结转和结余</w:t>
            </w:r>
          </w:p>
        </w:tc>
        <w:tc>
          <w:tcPr>
            <w:tcW w:w="1191"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w:t>
            </w:r>
          </w:p>
        </w:tc>
        <w:tc>
          <w:tcPr>
            <w:tcW w:w="354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8"/>
                <w:szCs w:val="18"/>
              </w:rPr>
              <w:t>本年支出</w:t>
            </w:r>
          </w:p>
        </w:tc>
        <w:tc>
          <w:tcPr>
            <w:tcW w:w="121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年末结转和结余</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91"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21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kern w:val="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文化体育与传媒支出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国家电影事业发展专项资金及对应专项债务收入安排的支出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2070701</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资助国产影片放映</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347"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资助城市影院</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2070703</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资助少数民族电影译制</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2070799</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其他国家电影事业发展专项资金支出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208</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社会保障和就业支出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20822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大中型水库移民后期扶持基金支出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PrEx>
        <w:trPr>
          <w:trHeight w:val="285" w:hRule="atLeast"/>
        </w:trPr>
        <w:tc>
          <w:tcPr>
            <w:tcW w:w="10335" w:type="dxa"/>
            <w:gridSpan w:val="1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注：本表反映部门本年度政府性基金预算财政拨款收入支出及结转和结余情况。</w:t>
            </w:r>
          </w:p>
        </w:tc>
      </w:tr>
      <w:tr>
        <w:tblPrEx>
          <w:tblLayout w:type="fixed"/>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仿宋" w:hAnsi="仿宋" w:eastAsia="仿宋" w:cs="宋体"/>
                <w:b/>
                <w:color w:val="FF0000"/>
                <w:sz w:val="20"/>
                <w:szCs w:val="20"/>
              </w:rPr>
            </w:pPr>
            <w:r>
              <w:rPr>
                <w:rFonts w:hint="eastAsia" w:ascii="仿宋" w:hAnsi="仿宋" w:eastAsia="仿宋" w:cs="宋体"/>
                <w:b/>
                <w:color w:val="FF0000"/>
                <w:kern w:val="0"/>
                <w:sz w:val="20"/>
                <w:szCs w:val="20"/>
              </w:rPr>
              <w:t>说明：没有政府性基金收入，也没有使用政府性基金安排的支出，故本表无数据。</w:t>
            </w:r>
          </w:p>
        </w:tc>
      </w:tr>
    </w:tbl>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b/>
          <w:bCs/>
          <w:sz w:val="48"/>
          <w:szCs w:val="48"/>
        </w:rPr>
      </w:pPr>
      <w:r>
        <w:rPr>
          <w:rFonts w:hint="eastAsia" w:ascii="仿宋" w:hAnsi="仿宋" w:eastAsia="仿宋" w:cs="隶书"/>
          <w:b/>
          <w:bCs/>
          <w:sz w:val="48"/>
          <w:szCs w:val="48"/>
        </w:rPr>
        <w:t>第三部分</w:t>
      </w:r>
    </w:p>
    <w:p>
      <w:pPr>
        <w:jc w:val="center"/>
        <w:rPr>
          <w:rFonts w:ascii="仿宋" w:hAnsi="仿宋" w:eastAsia="仿宋" w:cs="隶书"/>
          <w:b/>
          <w:bCs/>
          <w:sz w:val="48"/>
          <w:szCs w:val="48"/>
        </w:rPr>
      </w:pPr>
      <w:r>
        <w:rPr>
          <w:rFonts w:hint="eastAsia" w:ascii="仿宋" w:hAnsi="仿宋" w:eastAsia="仿宋" w:cs="隶书"/>
          <w:b/>
          <w:bCs/>
          <w:sz w:val="48"/>
          <w:szCs w:val="48"/>
        </w:rPr>
        <w:t>浉河区群工部</w:t>
      </w:r>
    </w:p>
    <w:p>
      <w:pPr>
        <w:jc w:val="center"/>
        <w:rPr>
          <w:rFonts w:ascii="仿宋_GB2312" w:hAnsi="仿宋_GB2312" w:eastAsia="仿宋_GB2312" w:cs="仿宋_GB2312"/>
          <w:sz w:val="32"/>
          <w:szCs w:val="32"/>
        </w:rPr>
      </w:pPr>
      <w:r>
        <w:rPr>
          <w:rFonts w:ascii="仿宋" w:hAnsi="仿宋" w:eastAsia="仿宋" w:cs="隶书"/>
          <w:b/>
          <w:bCs/>
          <w:sz w:val="48"/>
          <w:szCs w:val="48"/>
        </w:rPr>
        <w:t>201</w:t>
      </w:r>
      <w:r>
        <w:rPr>
          <w:rFonts w:hint="eastAsia" w:ascii="仿宋" w:hAnsi="仿宋" w:eastAsia="仿宋" w:cs="隶书"/>
          <w:b/>
          <w:bCs/>
          <w:sz w:val="48"/>
          <w:szCs w:val="48"/>
        </w:rPr>
        <w:t>8年度部门预算情况说明</w:t>
      </w:r>
    </w:p>
    <w:p>
      <w:pPr>
        <w:adjustRightInd w:val="0"/>
        <w:snapToGrid w:val="0"/>
        <w:spacing w:line="360" w:lineRule="auto"/>
        <w:ind w:left="420" w:leftChars="200" w:firstLine="321" w:firstLineChars="100"/>
        <w:outlineLvl w:val="1"/>
        <w:rPr>
          <w:rFonts w:ascii="仿宋_GB2312" w:hAnsi="仿宋_GB2312" w:eastAsia="仿宋_GB2312" w:cs="仿宋_GB2312"/>
          <w:b/>
          <w:bCs/>
          <w:sz w:val="32"/>
          <w:szCs w:val="32"/>
        </w:rPr>
      </w:pPr>
    </w:p>
    <w:p>
      <w:pPr>
        <w:adjustRightInd w:val="0"/>
        <w:snapToGrid w:val="0"/>
        <w:spacing w:line="360" w:lineRule="auto"/>
        <w:ind w:left="420" w:leftChars="200" w:firstLine="321" w:firstLineChars="1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一、关于收入支出预算总体情况说明</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2018年度收入总计516.89万元，支出总计516.89万元，与2017年相比，收入增加9.78万元，支出增加9.78万元，增浮1.9%。因为人员工资增加。</w:t>
      </w:r>
    </w:p>
    <w:p>
      <w:pPr>
        <w:adjustRightInd w:val="0"/>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二、关于收入预算情况说明</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2018年度收入合计516.89万元，其中：财政拨款收入516.89万元，占100 %；事业收入0 万元，占 0 %；经营收入0万元，占 0 %；其他收入0万元，占0 %。</w:t>
      </w:r>
    </w:p>
    <w:p>
      <w:pPr>
        <w:adjustRightInd w:val="0"/>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三、关于支出预算情况说明</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2018年度支出合计516.89万元，其中：基本支出516.89万元，占0%；项目支出0万元，占0%；经营支出0万元，占0%。</w:t>
      </w:r>
    </w:p>
    <w:p>
      <w:pPr>
        <w:adjustRightInd w:val="0"/>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四、关于财政拨款收入支出预算总体情况说明</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2017年财政拨款收支总预算516.89万元。与2016年相比，财政拨款收、支总计增加9.78万元，上浮1.9%。因人员工资增加。</w:t>
      </w:r>
    </w:p>
    <w:p>
      <w:pPr>
        <w:adjustRightInd w:val="0"/>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五、关于信访事务</w:t>
      </w:r>
      <w:r>
        <w:rPr>
          <w:rFonts w:hint="eastAsia" w:ascii="仿宋_GB2312" w:hAnsi="仿宋_GB2312" w:eastAsia="仿宋_GB2312" w:cs="仿宋_GB2312"/>
          <w:b/>
          <w:bCs/>
          <w:color w:val="000000"/>
          <w:kern w:val="0"/>
          <w:sz w:val="32"/>
          <w:szCs w:val="32"/>
        </w:rPr>
        <w:t>等支出预</w:t>
      </w:r>
      <w:r>
        <w:rPr>
          <w:rFonts w:hint="eastAsia" w:ascii="仿宋_GB2312" w:hAnsi="仿宋_GB2312" w:eastAsia="仿宋_GB2312" w:cs="仿宋_GB2312"/>
          <w:b/>
          <w:bCs/>
          <w:sz w:val="32"/>
          <w:szCs w:val="32"/>
        </w:rPr>
        <w:t>算情况说明</w:t>
      </w:r>
    </w:p>
    <w:p>
      <w:pPr>
        <w:numPr>
          <w:ilvl w:val="0"/>
          <w:numId w:val="3"/>
        </w:numPr>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财政拨款支出预算总体情况。</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2018年信访事务</w:t>
      </w:r>
      <w:r>
        <w:rPr>
          <w:rFonts w:hint="eastAsia" w:ascii="仿宋_GB2312" w:hAnsi="仿宋_GB2312" w:eastAsia="仿宋_GB2312" w:cs="仿宋_GB2312"/>
          <w:bCs/>
          <w:color w:val="000000"/>
          <w:kern w:val="0"/>
          <w:sz w:val="32"/>
          <w:szCs w:val="32"/>
        </w:rPr>
        <w:t>等支出</w:t>
      </w:r>
      <w:r>
        <w:rPr>
          <w:rFonts w:hint="eastAsia" w:ascii="仿宋_GB2312" w:hAnsi="仿宋_GB2312" w:eastAsia="仿宋_GB2312" w:cs="仿宋_GB2312"/>
          <w:bCs/>
          <w:sz w:val="32"/>
          <w:szCs w:val="32"/>
        </w:rPr>
        <w:t>516.89万元，占支出合计的100%。与2017年相比，</w:t>
      </w:r>
      <w:r>
        <w:rPr>
          <w:rFonts w:hint="eastAsia" w:ascii="仿宋_GB2312" w:hAnsi="仿宋_GB2312" w:eastAsia="仿宋_GB2312" w:cs="仿宋_GB2312"/>
          <w:bCs/>
          <w:color w:val="000000"/>
          <w:kern w:val="0"/>
          <w:sz w:val="32"/>
          <w:szCs w:val="32"/>
        </w:rPr>
        <w:t>信访事务等支出</w:t>
      </w:r>
      <w:r>
        <w:rPr>
          <w:rFonts w:hint="eastAsia" w:ascii="仿宋_GB2312" w:hAnsi="仿宋_GB2312" w:eastAsia="仿宋_GB2312" w:cs="仿宋_GB2312"/>
          <w:sz w:val="32"/>
          <w:szCs w:val="32"/>
        </w:rPr>
        <w:t>增加9.78万元，上浮1.9%。因为人员工资增加。</w:t>
      </w:r>
    </w:p>
    <w:p>
      <w:pPr>
        <w:numPr>
          <w:ilvl w:val="0"/>
          <w:numId w:val="3"/>
        </w:numPr>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财政拨款支出预算结构情况。</w:t>
      </w:r>
    </w:p>
    <w:p>
      <w:pPr>
        <w:spacing w:line="360" w:lineRule="auto"/>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2018年度信访事务</w:t>
      </w:r>
      <w:r>
        <w:rPr>
          <w:rFonts w:hint="eastAsia" w:ascii="仿宋_GB2312" w:hAnsi="仿宋_GB2312" w:eastAsia="仿宋_GB2312" w:cs="仿宋_GB2312"/>
          <w:bCs/>
          <w:color w:val="000000"/>
          <w:kern w:val="0"/>
          <w:sz w:val="32"/>
          <w:szCs w:val="32"/>
        </w:rPr>
        <w:t>等支出</w:t>
      </w:r>
      <w:r>
        <w:rPr>
          <w:rFonts w:hint="eastAsia" w:ascii="仿宋_GB2312" w:hAnsi="仿宋_GB2312" w:eastAsia="仿宋_GB2312" w:cs="仿宋_GB2312"/>
          <w:bCs/>
          <w:sz w:val="32"/>
          <w:szCs w:val="32"/>
        </w:rPr>
        <w:t>516.89</w:t>
      </w:r>
      <w:r>
        <w:rPr>
          <w:rFonts w:hint="eastAsia" w:ascii="仿宋_GB2312" w:hAnsi="仿宋_GB2312" w:eastAsia="仿宋_GB2312" w:cs="仿宋_GB2312"/>
          <w:sz w:val="32"/>
          <w:szCs w:val="32"/>
        </w:rPr>
        <w:t>万元；</w:t>
      </w:r>
    </w:p>
    <w:p>
      <w:pPr>
        <w:spacing w:line="360" w:lineRule="auto"/>
        <w:ind w:firstLine="645"/>
        <w:rPr>
          <w:rFonts w:ascii="仿宋_GB2312" w:eastAsia="仿宋_GB2312"/>
          <w:sz w:val="32"/>
          <w:szCs w:val="32"/>
        </w:rPr>
      </w:pPr>
      <w:r>
        <w:rPr>
          <w:rFonts w:hint="eastAsia" w:ascii="仿宋_GB2312" w:eastAsia="仿宋_GB2312"/>
          <w:sz w:val="32"/>
          <w:szCs w:val="32"/>
        </w:rPr>
        <w:t>1、基本支出222.29万元，其中在职行政人员工资66.07万元（含年终一次性奖金），在职事业人员工资81.75万元（含奖励性绩效），住房公积金17万元，行政单位医疗3.77万元，事业单位医疗4.33万元，基本养老金27.9万元；其他社会保险1.2万元，公用经费20.27万元(含行政人员车补9.77万元）.</w:t>
      </w:r>
    </w:p>
    <w:p>
      <w:pPr>
        <w:spacing w:line="360" w:lineRule="auto"/>
        <w:ind w:firstLine="645"/>
        <w:rPr>
          <w:rFonts w:ascii="仿宋_GB2312" w:eastAsia="仿宋_GB2312"/>
          <w:sz w:val="32"/>
          <w:szCs w:val="32"/>
        </w:rPr>
      </w:pPr>
      <w:r>
        <w:rPr>
          <w:rFonts w:hint="eastAsia" w:ascii="仿宋_GB2312" w:eastAsia="仿宋_GB2312"/>
          <w:sz w:val="32"/>
          <w:szCs w:val="32"/>
        </w:rPr>
        <w:t>2、项目支出294.6万元，包括2018年春节期间慰问救助困难群众5万元，会议费5万、省“两会”督导组经费10万（</w:t>
      </w:r>
      <w:r>
        <w:rPr>
          <w:rFonts w:hint="eastAsia" w:ascii="仿宋_GB2312" w:hAnsi="宋体" w:eastAsia="仿宋_GB2312"/>
          <w:sz w:val="32"/>
          <w:szCs w:val="32"/>
        </w:rPr>
        <w:t>省“两会”期间，临时派驻郑州，由处级领导干部带队，负责维护郑州地区信访稳定，确保郑州不发生来自我区干扰的工作组经费</w:t>
      </w:r>
      <w:r>
        <w:rPr>
          <w:rFonts w:hint="eastAsia" w:ascii="仿宋_GB2312" w:eastAsia="仿宋_GB2312"/>
          <w:sz w:val="32"/>
          <w:szCs w:val="32"/>
        </w:rPr>
        <w:t>）、全国“两会”值班经费20万（</w:t>
      </w:r>
      <w:r>
        <w:rPr>
          <w:rFonts w:hint="eastAsia" w:ascii="仿宋_GB2312" w:hAnsi="宋体" w:eastAsia="仿宋_GB2312"/>
          <w:sz w:val="32"/>
          <w:szCs w:val="32"/>
        </w:rPr>
        <w:t>全国“两会”期间，临时派驻北京，由处级领导干部带队，负责维护北京地区信访稳定，确保北京不发生来自我区干扰的工作组经费</w:t>
      </w:r>
      <w:r>
        <w:rPr>
          <w:rFonts w:hint="eastAsia" w:ascii="仿宋_GB2312" w:eastAsia="仿宋_GB2312"/>
          <w:sz w:val="32"/>
          <w:szCs w:val="32"/>
        </w:rPr>
        <w:t>）、信访专项经费24万元，临时驻京、郑工作组经费64.2万元（</w:t>
      </w:r>
      <w:r>
        <w:rPr>
          <w:rFonts w:hint="eastAsia" w:ascii="仿宋_GB2312" w:hAnsi="宋体" w:eastAsia="仿宋_GB2312"/>
          <w:sz w:val="32"/>
          <w:szCs w:val="32"/>
        </w:rPr>
        <w:t>按照市委要求，各县区每个月要安排政法、公安、信访三部门联合派驻北京进行工作，此项工作由信访局和政法委两个部门牵头负责</w:t>
      </w:r>
      <w:r>
        <w:rPr>
          <w:rFonts w:hint="eastAsia" w:ascii="仿宋_GB2312" w:eastAsia="仿宋_GB2312"/>
          <w:sz w:val="32"/>
          <w:szCs w:val="32"/>
        </w:rPr>
        <w:t>）、驻京、郑工作组经费92.4万元（</w:t>
      </w:r>
      <w:r>
        <w:rPr>
          <w:rFonts w:hint="eastAsia" w:ascii="仿宋_GB2312" w:hAnsi="宋体" w:eastAsia="仿宋_GB2312"/>
          <w:sz w:val="32"/>
          <w:szCs w:val="32"/>
        </w:rPr>
        <w:t>此经费为区长期派驻北京、郑州负责维护信访稳定的5名工作人员正常工作经费</w:t>
      </w:r>
      <w:r>
        <w:rPr>
          <w:rFonts w:hint="eastAsia" w:ascii="仿宋_GB2312" w:eastAsia="仿宋_GB2312"/>
          <w:sz w:val="32"/>
          <w:szCs w:val="32"/>
        </w:rPr>
        <w:t>）,疑难信访资金区配套74万元。</w:t>
      </w:r>
    </w:p>
    <w:p>
      <w:pPr>
        <w:adjustRightInd w:val="0"/>
        <w:snapToGrid w:val="0"/>
        <w:spacing w:line="360" w:lineRule="auto"/>
        <w:ind w:firstLine="640" w:firstLineChars="200"/>
        <w:rPr>
          <w:rFonts w:ascii="仿宋" w:hAnsi="仿宋" w:eastAsia="仿宋" w:cs="Courier New"/>
          <w:sz w:val="32"/>
          <w:szCs w:val="32"/>
        </w:rPr>
      </w:pPr>
    </w:p>
    <w:p>
      <w:pPr>
        <w:adjustRightInd w:val="0"/>
        <w:snapToGrid w:val="0"/>
        <w:spacing w:line="360" w:lineRule="auto"/>
        <w:ind w:firstLine="321" w:firstLineChars="100"/>
        <w:outlineLvl w:val="1"/>
        <w:rPr>
          <w:rFonts w:ascii="仿宋_GB2312" w:hAnsi="仿宋_GB2312" w:eastAsia="仿宋_GB2312" w:cs="仿宋_GB2312"/>
          <w:b/>
          <w:bCs/>
          <w:sz w:val="32"/>
          <w:szCs w:val="32"/>
        </w:rPr>
      </w:pPr>
    </w:p>
    <w:p>
      <w:pPr>
        <w:adjustRightInd w:val="0"/>
        <w:snapToGrid w:val="0"/>
        <w:spacing w:line="360" w:lineRule="auto"/>
        <w:ind w:firstLine="321" w:firstLineChars="1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六、关于“三公”经费支出预算情况说明</w:t>
      </w:r>
    </w:p>
    <w:p>
      <w:pPr>
        <w:numPr>
          <w:ilvl w:val="0"/>
          <w:numId w:val="4"/>
        </w:num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_GB2312" w:hAnsi="仿宋_GB2312" w:eastAsia="仿宋_GB2312" w:cs="仿宋_GB2312"/>
          <w:sz w:val="32"/>
          <w:szCs w:val="32"/>
        </w:rPr>
        <w:t>2018年度“三公”经费财政拨款支出预算为13万元，其中：因公出国（境）费支出预算为0万元；公务用车购置及运行费支出预算为3万元；公务接待费支出预算为10万元。2018年单位严格执行公务用车改革制度，仅一辆信访值班用车，包含车辆保险、维修费和加油费；公务接待费支出减少的主要原因是：现在公务接待的标准是同城不吃饭，禁止使用高档烟酒，禁止出入高档酒店进行招待，大大减少了公务接待费用。</w:t>
      </w:r>
    </w:p>
    <w:p>
      <w:pPr>
        <w:numPr>
          <w:ilvl w:val="0"/>
          <w:numId w:val="4"/>
        </w:num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2018年度“三公”经费财政拨款支出预算中，因公出国（境）费支出预算0万元，占0 %；公务用车购置及运行费支出预算3万元，公务接待费支出预算10万元，具体情况如下：</w:t>
      </w:r>
    </w:p>
    <w:p>
      <w:pPr>
        <w:numPr>
          <w:ilvl w:val="0"/>
          <w:numId w:val="5"/>
        </w:num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因公出国（境）费支出0万元。全年安排机关单位因公出国（境）团组0个，累计0人次。开支内容包括：</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出国谈判、工作磋商支出0万元，主要用于参加以下谈判和磋商：无。</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境外业务培训</w:t>
      </w:r>
      <w:r>
        <w:rPr>
          <w:rFonts w:ascii="仿宋" w:hAnsi="仿宋" w:eastAsia="仿宋" w:cs="Courier New"/>
          <w:b/>
          <w:bCs/>
          <w:sz w:val="32"/>
          <w:szCs w:val="32"/>
        </w:rPr>
        <w:t xml:space="preserve"> </w:t>
      </w:r>
      <w:r>
        <w:rPr>
          <w:rFonts w:hint="eastAsia" w:ascii="仿宋_GB2312" w:hAnsi="仿宋_GB2312" w:eastAsia="仿宋_GB2312" w:cs="仿宋_GB2312"/>
          <w:sz w:val="32"/>
          <w:szCs w:val="32"/>
        </w:rPr>
        <w:t>支出支出0万元，没有用于为提高财政管理水平而举办的公共财政支出结构比较研究、社会保障政策等。</w:t>
      </w:r>
    </w:p>
    <w:p>
      <w:pPr>
        <w:numPr>
          <w:ilvl w:val="0"/>
          <w:numId w:val="5"/>
        </w:num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公务用车购置及运行费支出3万元。其中：</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公务用车购置支出为0万元。（公务用车购置支出为0。）</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公务用车运行支出3万元。现有公务用车一辆，主要用于车辆保险、维修和加油费。</w:t>
      </w:r>
    </w:p>
    <w:p>
      <w:pPr>
        <w:numPr>
          <w:ilvl w:val="0"/>
          <w:numId w:val="5"/>
        </w:num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公务接待费支出10万元。其中：主要用于区群工部日常的公务接待及接访加班用餐。</w:t>
      </w:r>
    </w:p>
    <w:p>
      <w:pPr>
        <w:adjustRightInd w:val="0"/>
        <w:snapToGrid w:val="0"/>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七、关于政府性基金预算财政拨款支出预算情况说明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2018年度政府性基金预算财政拨款支出年初预算为0万元，支出为0万元。</w:t>
      </w:r>
    </w:p>
    <w:p>
      <w:pPr>
        <w:adjustRightInd w:val="0"/>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八、其他重要事项的情况说明</w:t>
      </w:r>
    </w:p>
    <w:p>
      <w:pPr>
        <w:kinsoku w:val="0"/>
        <w:overflowPunct w:val="0"/>
        <w:autoSpaceDE w:val="0"/>
        <w:autoSpaceDN w:val="0"/>
        <w:adjustRightInd w:val="0"/>
        <w:snapToGrid w:val="0"/>
        <w:spacing w:line="360" w:lineRule="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1、政府采购支出情况。</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2018年度无政府采购支出预算。</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2018年，区群工部共有车辆1辆，其中：一般公务用车1辆、一般执法执勤用车0辆、特种专业技术用车0辆，其他用车0辆。单价50万元以上通用设备0台（套），单位价值100万元以上专用设备0台（套）。</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3、关于预算绩效管理工作开展情况说明</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浉河区群工部2018年没有开展项目预算绩效评价。</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4、机关运行经费支出情况。</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2018年度机关运行经费预算支出20.27万元，比2017年有所减少。</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sectPr>
          <w:pgSz w:w="11905" w:h="16840"/>
          <w:pgMar w:top="1580" w:right="1240" w:bottom="1180" w:left="1400" w:header="0" w:footer="982" w:gutter="0"/>
          <w:pgNumType w:fmt="numberInDash"/>
          <w:cols w:space="720" w:num="1"/>
        </w:sectPr>
      </w:pPr>
    </w:p>
    <w:p>
      <w:pPr>
        <w:jc w:val="left"/>
        <w:rPr>
          <w:rFonts w:ascii="仿宋" w:hAnsi="仿宋" w:eastAsia="仿宋" w:cs="黑体"/>
          <w:sz w:val="32"/>
          <w:szCs w:val="32"/>
        </w:rPr>
      </w:pPr>
    </w:p>
    <w:p>
      <w:pPr>
        <w:jc w:val="center"/>
        <w:outlineLvl w:val="0"/>
        <w:rPr>
          <w:rFonts w:ascii="仿宋" w:hAnsi="仿宋" w:eastAsia="仿宋" w:cs="隶书"/>
          <w:b/>
          <w:bCs/>
          <w:sz w:val="44"/>
          <w:szCs w:val="44"/>
        </w:rPr>
      </w:pPr>
      <w:r>
        <w:rPr>
          <w:rFonts w:hint="eastAsia" w:ascii="仿宋" w:hAnsi="仿宋" w:eastAsia="仿宋" w:cs="隶书"/>
          <w:b/>
          <w:bCs/>
          <w:sz w:val="44"/>
          <w:szCs w:val="44"/>
        </w:rPr>
        <w:t>第四部分　　名词解释</w:t>
      </w:r>
    </w:p>
    <w:p>
      <w:pPr>
        <w:jc w:val="center"/>
        <w:outlineLvl w:val="0"/>
        <w:rPr>
          <w:rFonts w:ascii="仿宋" w:hAnsi="仿宋" w:eastAsia="仿宋" w:cs="隶书"/>
          <w:sz w:val="48"/>
          <w:szCs w:val="48"/>
        </w:rPr>
      </w:pPr>
    </w:p>
    <w:p>
      <w:pPr>
        <w:jc w:val="center"/>
        <w:outlineLvl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财政拨款收入：</w:t>
      </w:r>
      <w:r>
        <w:rPr>
          <w:rFonts w:hint="eastAsia" w:ascii="仿宋_GB2312" w:hAnsi="仿宋_GB2312" w:eastAsia="仿宋_GB2312" w:cs="仿宋_GB2312"/>
          <w:sz w:val="32"/>
          <w:szCs w:val="32"/>
        </w:rPr>
        <w:t>是指省级财政当年拨付的资金。</w:t>
      </w:r>
    </w:p>
    <w:p>
      <w:pPr>
        <w:numPr>
          <w:ilvl w:val="0"/>
          <w:numId w:val="6"/>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事业收入：</w:t>
      </w:r>
      <w:r>
        <w:rPr>
          <w:rFonts w:hint="eastAsia" w:ascii="仿宋_GB2312" w:hAnsi="仿宋_GB2312" w:eastAsia="仿宋_GB2312" w:cs="仿宋_GB2312"/>
          <w:sz w:val="32"/>
          <w:szCs w:val="32"/>
        </w:rPr>
        <w:t>是指事业单位开展专业业务活动及辅助活动所取得的收入。如：ＸＸ刊物发行收入，ＸＸ协会收取的会费收入等。</w:t>
      </w:r>
    </w:p>
    <w:p>
      <w:pPr>
        <w:numPr>
          <w:ilvl w:val="0"/>
          <w:numId w:val="6"/>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经营收入：</w:t>
      </w:r>
      <w:r>
        <w:rPr>
          <w:rFonts w:hint="eastAsia" w:ascii="仿宋_GB2312" w:hAnsi="仿宋_GB2312" w:eastAsia="仿宋_GB2312" w:cs="仿宋_GB2312"/>
          <w:sz w:val="32"/>
          <w:szCs w:val="32"/>
        </w:rPr>
        <w:t>指事业单位在专业业务活动及其辅助活动之外开展非独立核算经营活动取得的收入。如：ＸＸ杂志社广告收入等。</w:t>
      </w:r>
    </w:p>
    <w:p>
      <w:pPr>
        <w:numPr>
          <w:ilvl w:val="0"/>
          <w:numId w:val="6"/>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其他收入：</w:t>
      </w:r>
      <w:r>
        <w:rPr>
          <w:rFonts w:hint="eastAsia" w:ascii="仿宋_GB2312" w:hAnsi="仿宋_GB2312" w:eastAsia="仿宋_GB2312" w:cs="仿宋_GB2312"/>
          <w:sz w:val="32"/>
          <w:szCs w:val="32"/>
        </w:rPr>
        <w:t>指除上述“财政拨款收入”、“事业收入”、“事业单位经营收入”、“经营收入”等以外的收入。主要是按规定动用的售房收入、存款利息收入等。</w:t>
      </w:r>
    </w:p>
    <w:p>
      <w:pPr>
        <w:numPr>
          <w:ilvl w:val="0"/>
          <w:numId w:val="6"/>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用事业基金弥补收支差额：</w:t>
      </w:r>
      <w:r>
        <w:rPr>
          <w:rFonts w:hint="eastAsia" w:ascii="仿宋_GB2312" w:hAnsi="仿宋_GB2312" w:eastAsia="仿宋_GB2312" w:cs="仿宋_GB2312"/>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仿宋_GB2312" w:eastAsia="仿宋_GB2312" w:cs="仿宋_GB2312"/>
          <w:b/>
          <w:bCs/>
          <w:sz w:val="32"/>
          <w:szCs w:val="32"/>
        </w:rPr>
        <w:t>。</w:t>
      </w:r>
    </w:p>
    <w:p>
      <w:pPr>
        <w:numPr>
          <w:ilvl w:val="0"/>
          <w:numId w:val="6"/>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年初结转和结余：</w:t>
      </w:r>
      <w:r>
        <w:rPr>
          <w:rFonts w:hint="eastAsia" w:ascii="仿宋_GB2312" w:hAnsi="仿宋_GB2312" w:eastAsia="仿宋_GB2312" w:cs="仿宋_GB2312"/>
          <w:sz w:val="32"/>
          <w:szCs w:val="32"/>
        </w:rPr>
        <w:t>指以前年度尚未完成、结转到本年按有关规定继续使用的资金。</w:t>
      </w:r>
    </w:p>
    <w:p>
      <w:pPr>
        <w:numPr>
          <w:ilvl w:val="0"/>
          <w:numId w:val="6"/>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color w:val="000000"/>
          <w:kern w:val="0"/>
          <w:sz w:val="32"/>
          <w:szCs w:val="32"/>
        </w:rPr>
        <w:t>信访事务等支出</w:t>
      </w:r>
      <w:r>
        <w:rPr>
          <w:rFonts w:hint="eastAsia" w:ascii="仿宋_GB2312" w:hAnsi="仿宋_GB2312" w:eastAsia="仿宋_GB2312" w:cs="仿宋_GB2312"/>
          <w:b/>
          <w:bCs/>
          <w:sz w:val="32"/>
          <w:szCs w:val="32"/>
        </w:rPr>
        <w:t xml:space="preserve">（类）信访事务（款）行政运行（项） </w:t>
      </w:r>
      <w:r>
        <w:rPr>
          <w:rFonts w:hint="eastAsia" w:ascii="仿宋_GB2312" w:hAnsi="仿宋_GB2312" w:eastAsia="仿宋_GB2312" w:cs="仿宋_GB2312"/>
          <w:b/>
          <w:bCs/>
          <w:color w:val="FF0000"/>
          <w:sz w:val="32"/>
          <w:szCs w:val="32"/>
        </w:rPr>
        <w:t>（请根据单位实际情况，参照《2018年政府收支分类科目》和对口中央部门预算公开信息填写）</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是指反应行政单位（包括实行公务员管理的事业单位）的基本支出。</w:t>
      </w:r>
    </w:p>
    <w:p>
      <w:pPr>
        <w:numPr>
          <w:ilvl w:val="0"/>
          <w:numId w:val="6"/>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color w:val="000000"/>
          <w:kern w:val="0"/>
          <w:sz w:val="32"/>
          <w:szCs w:val="32"/>
        </w:rPr>
        <w:t>信访事务等支出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b/>
          <w:color w:val="000000"/>
          <w:sz w:val="32"/>
          <w:szCs w:val="32"/>
        </w:rPr>
        <w:t>信访事务</w:t>
      </w:r>
      <w:r>
        <w:rPr>
          <w:rFonts w:hint="eastAsia" w:ascii="仿宋_GB2312" w:hAnsi="仿宋_GB2312" w:eastAsia="仿宋_GB2312" w:cs="仿宋_GB2312"/>
          <w:b/>
          <w:bCs/>
          <w:sz w:val="32"/>
          <w:szCs w:val="32"/>
        </w:rPr>
        <w:t>（款）行政运行（项）：</w:t>
      </w:r>
      <w:r>
        <w:rPr>
          <w:rFonts w:hint="eastAsia" w:ascii="仿宋_GB2312" w:hAnsi="仿宋_GB2312" w:eastAsia="仿宋_GB2312" w:cs="仿宋_GB2312"/>
          <w:sz w:val="32"/>
          <w:szCs w:val="32"/>
        </w:rPr>
        <w:t>反应国家信访事务管理部门的支出。</w:t>
      </w:r>
    </w:p>
    <w:p>
      <w:pPr>
        <w:numPr>
          <w:ilvl w:val="0"/>
          <w:numId w:val="6"/>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bookmarkStart w:id="0" w:name="_GoBack"/>
      <w:bookmarkEnd w:id="0"/>
      <w:r>
        <w:rPr>
          <w:rFonts w:hint="eastAsia" w:ascii="仿宋_GB2312" w:hAnsi="仿宋_GB2312" w:eastAsia="仿宋_GB2312" w:cs="仿宋_GB2312"/>
          <w:b/>
          <w:bCs/>
          <w:sz w:val="32"/>
          <w:szCs w:val="32"/>
        </w:rPr>
        <w:t>结余分配：</w:t>
      </w:r>
      <w:r>
        <w:rPr>
          <w:rFonts w:hint="eastAsia" w:ascii="仿宋_GB2312" w:hAnsi="仿宋_GB2312" w:eastAsia="仿宋_GB2312" w:cs="仿宋_GB2312"/>
          <w:sz w:val="32"/>
          <w:szCs w:val="32"/>
        </w:rPr>
        <w:t>指事业单位按规定提取的职工福利基金、事业基金和缴纳的所得税，以及建设单位按规定应交回的基本建设竣工项目结余资金。</w:t>
      </w:r>
    </w:p>
    <w:p>
      <w:pPr>
        <w:numPr>
          <w:ilvl w:val="0"/>
          <w:numId w:val="6"/>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年末结转和结余：</w:t>
      </w:r>
      <w:r>
        <w:rPr>
          <w:rFonts w:hint="eastAsia" w:ascii="仿宋_GB2312" w:hAnsi="仿宋_GB2312" w:eastAsia="仿宋_GB2312" w:cs="仿宋_GB2312"/>
          <w:sz w:val="32"/>
          <w:szCs w:val="32"/>
        </w:rPr>
        <w:t>指本年度或以前年度预算安排、因客观条件发生变化无法按原计划实施，需延迟到以后年度按有关规定继续使用的资金。</w:t>
      </w:r>
    </w:p>
    <w:p>
      <w:pPr>
        <w:numPr>
          <w:ilvl w:val="0"/>
          <w:numId w:val="6"/>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基本支出：</w:t>
      </w:r>
      <w:r>
        <w:rPr>
          <w:rFonts w:hint="eastAsia" w:ascii="仿宋_GB2312" w:hAnsi="仿宋_GB2312" w:eastAsia="仿宋_GB2312" w:cs="仿宋_GB2312"/>
          <w:sz w:val="32"/>
          <w:szCs w:val="32"/>
        </w:rPr>
        <w:t>指为保障机构正常运转、完成日常工作任务而发生的人员支出和公用支出。</w:t>
      </w:r>
    </w:p>
    <w:p>
      <w:pPr>
        <w:numPr>
          <w:ilvl w:val="0"/>
          <w:numId w:val="6"/>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项目支出：</w:t>
      </w:r>
      <w:r>
        <w:rPr>
          <w:rFonts w:hint="eastAsia" w:ascii="仿宋_GB2312" w:hAnsi="仿宋_GB2312" w:eastAsia="仿宋_GB2312" w:cs="仿宋_GB2312"/>
          <w:sz w:val="32"/>
          <w:szCs w:val="32"/>
        </w:rPr>
        <w:t>指在基本支出之外为完成特定行政任务和事业发展目标所发生的支出。</w:t>
      </w:r>
    </w:p>
    <w:p>
      <w:pPr>
        <w:numPr>
          <w:ilvl w:val="0"/>
          <w:numId w:val="6"/>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经营支出：</w:t>
      </w:r>
      <w:r>
        <w:rPr>
          <w:rFonts w:hint="eastAsia" w:ascii="仿宋_GB2312" w:hAnsi="仿宋_GB2312" w:eastAsia="仿宋_GB2312" w:cs="仿宋_GB2312"/>
          <w:sz w:val="32"/>
          <w:szCs w:val="32"/>
        </w:rPr>
        <w:t>指事业单位在专业业务活动及其辅助活动之外开展非独立核算经营活动发生的支出。</w:t>
      </w:r>
    </w:p>
    <w:p>
      <w:pPr>
        <w:numPr>
          <w:ilvl w:val="0"/>
          <w:numId w:val="6"/>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“三公”经费：</w:t>
      </w:r>
      <w:r>
        <w:rPr>
          <w:rFonts w:hint="eastAsia" w:ascii="仿宋_GB2312" w:hAnsi="仿宋_GB2312" w:eastAsia="仿宋_GB2312" w:cs="仿宋_GB2312"/>
          <w:sz w:val="32"/>
          <w:szCs w:val="32"/>
        </w:rPr>
        <w:t>纳入中央财政预决算管理的“三公”经费，是指用财政拨款安排的因公出国（境）费、公务用车购置及运行费和公务接待费。其中，因公出国（境）费反映单位公务出国（境）的国际旅费 、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6"/>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机关运行经费：</w:t>
      </w:r>
      <w:r>
        <w:rPr>
          <w:rFonts w:hint="eastAsia" w:ascii="仿宋_GB2312" w:hAnsi="仿宋_GB2312" w:eastAsia="仿宋_GB2312" w:cs="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_GB2312" w:hAnsi="仿宋_GB2312" w:eastAsia="仿宋_GB2312" w:cs="仿宋_GB2312"/>
          <w:sz w:val="32"/>
          <w:szCs w:val="32"/>
        </w:rPr>
      </w:pP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仿宋">
    <w:altName w:val="宋体"/>
    <w:panose1 w:val="02010609060101010101"/>
    <w:charset w:val="86"/>
    <w:family w:val="modern"/>
    <w:pitch w:val="default"/>
    <w:sig w:usb0="00000000" w:usb1="00000000"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- 19 -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67D4B"/>
    <w:multiLevelType w:val="multilevel"/>
    <w:tmpl w:val="3F667D4B"/>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3">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4">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5">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172A27"/>
    <w:rsid w:val="000268B8"/>
    <w:rsid w:val="00042522"/>
    <w:rsid w:val="00092801"/>
    <w:rsid w:val="000B1B09"/>
    <w:rsid w:val="000B1B9B"/>
    <w:rsid w:val="00132E43"/>
    <w:rsid w:val="00170110"/>
    <w:rsid w:val="0017112E"/>
    <w:rsid w:val="00172A27"/>
    <w:rsid w:val="001D3BAD"/>
    <w:rsid w:val="001D3FB5"/>
    <w:rsid w:val="002174F8"/>
    <w:rsid w:val="0023250A"/>
    <w:rsid w:val="0023350F"/>
    <w:rsid w:val="002903D8"/>
    <w:rsid w:val="002A721A"/>
    <w:rsid w:val="00336FCB"/>
    <w:rsid w:val="00376170"/>
    <w:rsid w:val="003F57A5"/>
    <w:rsid w:val="00402C74"/>
    <w:rsid w:val="00422EA9"/>
    <w:rsid w:val="004C11C3"/>
    <w:rsid w:val="004D36BB"/>
    <w:rsid w:val="004D4B30"/>
    <w:rsid w:val="004F3C7C"/>
    <w:rsid w:val="0050293C"/>
    <w:rsid w:val="00503F16"/>
    <w:rsid w:val="00532C37"/>
    <w:rsid w:val="005E126E"/>
    <w:rsid w:val="00630D31"/>
    <w:rsid w:val="006F22F7"/>
    <w:rsid w:val="007115FD"/>
    <w:rsid w:val="00731FE8"/>
    <w:rsid w:val="00743248"/>
    <w:rsid w:val="00746A4F"/>
    <w:rsid w:val="00787823"/>
    <w:rsid w:val="007956F5"/>
    <w:rsid w:val="007B72EA"/>
    <w:rsid w:val="007F7F87"/>
    <w:rsid w:val="009B6CAD"/>
    <w:rsid w:val="00A77C36"/>
    <w:rsid w:val="00AB7377"/>
    <w:rsid w:val="00AE7787"/>
    <w:rsid w:val="00AF7B15"/>
    <w:rsid w:val="00B12B50"/>
    <w:rsid w:val="00B54309"/>
    <w:rsid w:val="00B74243"/>
    <w:rsid w:val="00B84FB0"/>
    <w:rsid w:val="00BA37FF"/>
    <w:rsid w:val="00BC30E8"/>
    <w:rsid w:val="00BC5210"/>
    <w:rsid w:val="00BE4CA5"/>
    <w:rsid w:val="00BF3D6F"/>
    <w:rsid w:val="00BF74B7"/>
    <w:rsid w:val="00C57D7B"/>
    <w:rsid w:val="00C6444A"/>
    <w:rsid w:val="00C97500"/>
    <w:rsid w:val="00CD4933"/>
    <w:rsid w:val="00D83FB5"/>
    <w:rsid w:val="00D9092F"/>
    <w:rsid w:val="00DB1C77"/>
    <w:rsid w:val="00DD5457"/>
    <w:rsid w:val="00E21B07"/>
    <w:rsid w:val="00E32E02"/>
    <w:rsid w:val="00E8190D"/>
    <w:rsid w:val="00E92067"/>
    <w:rsid w:val="00ED38A5"/>
    <w:rsid w:val="00ED44BB"/>
    <w:rsid w:val="00EE6AA4"/>
    <w:rsid w:val="00F92F65"/>
    <w:rsid w:val="00FB0B96"/>
    <w:rsid w:val="015D3DCE"/>
    <w:rsid w:val="01F21A60"/>
    <w:rsid w:val="02076D68"/>
    <w:rsid w:val="02457747"/>
    <w:rsid w:val="026651AD"/>
    <w:rsid w:val="027033B1"/>
    <w:rsid w:val="02CD54DF"/>
    <w:rsid w:val="02DB3298"/>
    <w:rsid w:val="03240ECA"/>
    <w:rsid w:val="037C2BB3"/>
    <w:rsid w:val="04453648"/>
    <w:rsid w:val="07F31BEE"/>
    <w:rsid w:val="084D7413"/>
    <w:rsid w:val="08A93228"/>
    <w:rsid w:val="08FB3159"/>
    <w:rsid w:val="09BB2134"/>
    <w:rsid w:val="0C366EEC"/>
    <w:rsid w:val="0F8F7E9B"/>
    <w:rsid w:val="0FAB2FE6"/>
    <w:rsid w:val="0FEF0DE6"/>
    <w:rsid w:val="113E646F"/>
    <w:rsid w:val="117A0571"/>
    <w:rsid w:val="147E551D"/>
    <w:rsid w:val="14D2458E"/>
    <w:rsid w:val="150B6848"/>
    <w:rsid w:val="15492582"/>
    <w:rsid w:val="172B5E91"/>
    <w:rsid w:val="17965762"/>
    <w:rsid w:val="17BE6092"/>
    <w:rsid w:val="17F73D7A"/>
    <w:rsid w:val="192018D0"/>
    <w:rsid w:val="19727C2A"/>
    <w:rsid w:val="1A624019"/>
    <w:rsid w:val="1BE44477"/>
    <w:rsid w:val="1C1F61CB"/>
    <w:rsid w:val="1C3B117F"/>
    <w:rsid w:val="1C970E94"/>
    <w:rsid w:val="1E025B4A"/>
    <w:rsid w:val="1E2566FD"/>
    <w:rsid w:val="1E7D3B34"/>
    <w:rsid w:val="1F7465C4"/>
    <w:rsid w:val="204F0ED9"/>
    <w:rsid w:val="20551F79"/>
    <w:rsid w:val="20F5460F"/>
    <w:rsid w:val="212E5315"/>
    <w:rsid w:val="2419340B"/>
    <w:rsid w:val="254B33D1"/>
    <w:rsid w:val="256D2254"/>
    <w:rsid w:val="25CE35AF"/>
    <w:rsid w:val="27507D70"/>
    <w:rsid w:val="29621C7E"/>
    <w:rsid w:val="2983760E"/>
    <w:rsid w:val="29B13F52"/>
    <w:rsid w:val="29ED2241"/>
    <w:rsid w:val="29F42E4B"/>
    <w:rsid w:val="2ACE51FA"/>
    <w:rsid w:val="2BA4769A"/>
    <w:rsid w:val="2C654BE7"/>
    <w:rsid w:val="2C8F6BCF"/>
    <w:rsid w:val="2CAA6DD7"/>
    <w:rsid w:val="2CC075DB"/>
    <w:rsid w:val="2CD06EF4"/>
    <w:rsid w:val="2D9D4DA5"/>
    <w:rsid w:val="2DBF18D1"/>
    <w:rsid w:val="2F47056C"/>
    <w:rsid w:val="2F721C2F"/>
    <w:rsid w:val="2FB2383B"/>
    <w:rsid w:val="307652F7"/>
    <w:rsid w:val="31C03EEE"/>
    <w:rsid w:val="325F6EF2"/>
    <w:rsid w:val="32EF005E"/>
    <w:rsid w:val="32EF40CE"/>
    <w:rsid w:val="334152F7"/>
    <w:rsid w:val="336D4764"/>
    <w:rsid w:val="33A76F4E"/>
    <w:rsid w:val="34416F30"/>
    <w:rsid w:val="35735F2A"/>
    <w:rsid w:val="364D690A"/>
    <w:rsid w:val="36FA2471"/>
    <w:rsid w:val="372974AC"/>
    <w:rsid w:val="38163F87"/>
    <w:rsid w:val="38262F47"/>
    <w:rsid w:val="39637962"/>
    <w:rsid w:val="39765334"/>
    <w:rsid w:val="39967F15"/>
    <w:rsid w:val="399E6DC7"/>
    <w:rsid w:val="3AE7177F"/>
    <w:rsid w:val="3C5769C0"/>
    <w:rsid w:val="3E2C31AB"/>
    <w:rsid w:val="3EA437AD"/>
    <w:rsid w:val="3EEE22CD"/>
    <w:rsid w:val="3F081D17"/>
    <w:rsid w:val="3F6D5E14"/>
    <w:rsid w:val="3FCD07F4"/>
    <w:rsid w:val="416A0FD5"/>
    <w:rsid w:val="41CF71DE"/>
    <w:rsid w:val="42271DDB"/>
    <w:rsid w:val="42563EC6"/>
    <w:rsid w:val="43133C1D"/>
    <w:rsid w:val="436A7B8D"/>
    <w:rsid w:val="436E1BED"/>
    <w:rsid w:val="43E82B9D"/>
    <w:rsid w:val="457B1C96"/>
    <w:rsid w:val="468900BD"/>
    <w:rsid w:val="46AD56F2"/>
    <w:rsid w:val="46F559ED"/>
    <w:rsid w:val="477D716C"/>
    <w:rsid w:val="48B52937"/>
    <w:rsid w:val="48C00F7D"/>
    <w:rsid w:val="48EE3EF3"/>
    <w:rsid w:val="4A6975BA"/>
    <w:rsid w:val="4A9F3E50"/>
    <w:rsid w:val="4B2D55EB"/>
    <w:rsid w:val="4BF10D12"/>
    <w:rsid w:val="4C1E2F28"/>
    <w:rsid w:val="4C884909"/>
    <w:rsid w:val="4DE20C7C"/>
    <w:rsid w:val="4EB96D61"/>
    <w:rsid w:val="4F506F2D"/>
    <w:rsid w:val="508D763E"/>
    <w:rsid w:val="50C2787A"/>
    <w:rsid w:val="51061A3A"/>
    <w:rsid w:val="5115239B"/>
    <w:rsid w:val="529E1037"/>
    <w:rsid w:val="541D6A82"/>
    <w:rsid w:val="542309F9"/>
    <w:rsid w:val="544677EE"/>
    <w:rsid w:val="55464074"/>
    <w:rsid w:val="55EA1009"/>
    <w:rsid w:val="5651051D"/>
    <w:rsid w:val="57E961A8"/>
    <w:rsid w:val="581E77CF"/>
    <w:rsid w:val="58B06254"/>
    <w:rsid w:val="59B5263A"/>
    <w:rsid w:val="5AF25131"/>
    <w:rsid w:val="5B484C24"/>
    <w:rsid w:val="5BCA31AA"/>
    <w:rsid w:val="5BDF7943"/>
    <w:rsid w:val="5C0F3375"/>
    <w:rsid w:val="5D0E4A85"/>
    <w:rsid w:val="5DD56AC2"/>
    <w:rsid w:val="5DD90C6C"/>
    <w:rsid w:val="5E886EBD"/>
    <w:rsid w:val="5EB57926"/>
    <w:rsid w:val="5ECF3FA4"/>
    <w:rsid w:val="5F130DE5"/>
    <w:rsid w:val="5F5E085D"/>
    <w:rsid w:val="5F7D7490"/>
    <w:rsid w:val="5F964892"/>
    <w:rsid w:val="5FB578F9"/>
    <w:rsid w:val="600176AC"/>
    <w:rsid w:val="60B8378D"/>
    <w:rsid w:val="60BD1EC0"/>
    <w:rsid w:val="60F22670"/>
    <w:rsid w:val="617A16DC"/>
    <w:rsid w:val="627A693C"/>
    <w:rsid w:val="62930CFA"/>
    <w:rsid w:val="62D27395"/>
    <w:rsid w:val="6322592F"/>
    <w:rsid w:val="63FC5C35"/>
    <w:rsid w:val="6487196B"/>
    <w:rsid w:val="664A46E0"/>
    <w:rsid w:val="664B34E8"/>
    <w:rsid w:val="676216F0"/>
    <w:rsid w:val="67941F0B"/>
    <w:rsid w:val="6796775E"/>
    <w:rsid w:val="67D84ED8"/>
    <w:rsid w:val="67FE6159"/>
    <w:rsid w:val="68500770"/>
    <w:rsid w:val="686B0051"/>
    <w:rsid w:val="687C156E"/>
    <w:rsid w:val="68E95CA0"/>
    <w:rsid w:val="68F315DE"/>
    <w:rsid w:val="694659C4"/>
    <w:rsid w:val="69F84494"/>
    <w:rsid w:val="6A8E6FE0"/>
    <w:rsid w:val="6ABB6698"/>
    <w:rsid w:val="6AC30185"/>
    <w:rsid w:val="6AD05404"/>
    <w:rsid w:val="6D7E6A21"/>
    <w:rsid w:val="6DC12C15"/>
    <w:rsid w:val="6F2D14A1"/>
    <w:rsid w:val="6FAA2026"/>
    <w:rsid w:val="6FDF24CC"/>
    <w:rsid w:val="705F045F"/>
    <w:rsid w:val="70F0172B"/>
    <w:rsid w:val="71490407"/>
    <w:rsid w:val="7156288B"/>
    <w:rsid w:val="72390FFA"/>
    <w:rsid w:val="72445298"/>
    <w:rsid w:val="72B61072"/>
    <w:rsid w:val="73F12465"/>
    <w:rsid w:val="74A01909"/>
    <w:rsid w:val="74A03A84"/>
    <w:rsid w:val="75531EF6"/>
    <w:rsid w:val="755A7A11"/>
    <w:rsid w:val="75D0003D"/>
    <w:rsid w:val="75E17E05"/>
    <w:rsid w:val="783E1213"/>
    <w:rsid w:val="79060C93"/>
    <w:rsid w:val="7A070B19"/>
    <w:rsid w:val="7A123E25"/>
    <w:rsid w:val="7A946665"/>
    <w:rsid w:val="7C2C4361"/>
    <w:rsid w:val="7FF25D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Char"/>
    <w:basedOn w:val="5"/>
    <w:link w:val="2"/>
    <w:semiHidden/>
    <w:qFormat/>
    <w:locked/>
    <w:uiPriority w:val="99"/>
    <w:rPr>
      <w:rFonts w:ascii="Calibri" w:hAnsi="Calibri" w:cs="Times New Roman"/>
      <w:sz w:val="24"/>
      <w:szCs w:val="24"/>
    </w:rPr>
  </w:style>
  <w:style w:type="character" w:customStyle="1" w:styleId="8">
    <w:name w:val="页脚 Char"/>
    <w:basedOn w:val="5"/>
    <w:link w:val="3"/>
    <w:semiHidden/>
    <w:qFormat/>
    <w:locked/>
    <w:uiPriority w:val="99"/>
    <w:rPr>
      <w:rFonts w:ascii="Calibri" w:hAnsi="Calibri" w:cs="Times New Roman"/>
      <w:sz w:val="18"/>
      <w:szCs w:val="18"/>
    </w:rPr>
  </w:style>
  <w:style w:type="character" w:customStyle="1" w:styleId="9">
    <w:name w:val="页眉 Char"/>
    <w:basedOn w:val="5"/>
    <w:link w:val="4"/>
    <w:semiHidden/>
    <w:qFormat/>
    <w:locked/>
    <w:uiPriority w:val="99"/>
    <w:rPr>
      <w:rFonts w:ascii="Calibri" w:hAnsi="Calibri" w:cs="Times New Roman"/>
      <w:sz w:val="18"/>
      <w:szCs w:val="18"/>
    </w:rPr>
  </w:style>
  <w:style w:type="character" w:customStyle="1" w:styleId="10">
    <w:name w:val="font31"/>
    <w:basedOn w:val="5"/>
    <w:qFormat/>
    <w:uiPriority w:val="99"/>
    <w:rPr>
      <w:rFonts w:ascii="Arial" w:hAnsi="Arial" w:cs="Arial"/>
      <w:color w:val="000000"/>
      <w:sz w:val="16"/>
      <w:szCs w:val="16"/>
      <w:u w:val="none"/>
    </w:rPr>
  </w:style>
  <w:style w:type="character" w:customStyle="1" w:styleId="11">
    <w:name w:val="font01"/>
    <w:basedOn w:val="5"/>
    <w:qFormat/>
    <w:uiPriority w:val="99"/>
    <w:rPr>
      <w:rFonts w:ascii="Arial" w:hAnsi="Arial" w:cs="Arial"/>
      <w:color w:val="000000"/>
      <w:sz w:val="16"/>
      <w:szCs w:val="16"/>
      <w:u w:val="none"/>
    </w:rPr>
  </w:style>
  <w:style w:type="character" w:customStyle="1" w:styleId="12">
    <w:name w:val="font41"/>
    <w:basedOn w:val="5"/>
    <w:qFormat/>
    <w:uiPriority w:val="99"/>
    <w:rPr>
      <w:rFonts w:ascii="宋体" w:hAnsi="宋体" w:eastAsia="宋体" w:cs="宋体"/>
      <w:color w:val="000000"/>
      <w:sz w:val="16"/>
      <w:szCs w:val="16"/>
      <w:u w:val="none"/>
    </w:rPr>
  </w:style>
  <w:style w:type="paragraph" w:customStyle="1" w:styleId="13">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4A2EFD-903C-41FA-B958-6A7C8FD54C3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1513</Words>
  <Characters>8627</Characters>
  <Lines>71</Lines>
  <Paragraphs>20</Paragraphs>
  <TotalTime>1</TotalTime>
  <ScaleCrop>false</ScaleCrop>
  <LinksUpToDate>false</LinksUpToDate>
  <CharactersWithSpaces>10120</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2019-02-12T02:17:13Z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