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黑体" w:hAnsi="黑体" w:eastAsia="黑体" w:cs="黑体"/>
          <w:sz w:val="52"/>
          <w:szCs w:val="52"/>
        </w:rPr>
      </w:pPr>
      <w:r>
        <w:rPr>
          <w:rFonts w:hint="eastAsia" w:ascii="隶书" w:hAnsi="隶书" w:eastAsia="隶书" w:cs="隶书"/>
          <w:sz w:val="52"/>
          <w:szCs w:val="52"/>
        </w:rPr>
        <w:t>浉河区科协</w:t>
      </w:r>
    </w:p>
    <w:p>
      <w:pPr>
        <w:jc w:val="center"/>
        <w:rPr>
          <w:rFonts w:ascii="隶书" w:hAnsi="隶书" w:eastAsia="隶书" w:cs="隶书"/>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201</w:t>
      </w:r>
      <w:r>
        <w:rPr>
          <w:rFonts w:hint="eastAsia" w:ascii="隶书" w:hAnsi="隶书" w:eastAsia="隶书" w:cs="隶书"/>
          <w:sz w:val="52"/>
          <w:szCs w:val="52"/>
        </w:rPr>
        <w:t>8年度部门预算公开情况</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区科协概况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部门预算单位构成</w:t>
      </w:r>
    </w:p>
    <w:p>
      <w:pPr>
        <w:jc w:val="left"/>
        <w:rPr>
          <w:rFonts w:ascii="黑体" w:hAnsi="黑体" w:eastAsia="黑体" w:cs="黑体"/>
          <w:sz w:val="32"/>
          <w:szCs w:val="32"/>
        </w:rPr>
      </w:pPr>
      <w:r>
        <w:rPr>
          <w:rFonts w:hint="eastAsia" w:ascii="黑体" w:hAnsi="黑体" w:eastAsia="黑体" w:cs="黑体"/>
          <w:sz w:val="32"/>
          <w:szCs w:val="32"/>
        </w:rPr>
        <w:t>第二部分　　区科协</w:t>
      </w:r>
      <w:r>
        <w:rPr>
          <w:rFonts w:ascii="黑体" w:hAnsi="黑体" w:eastAsia="黑体" w:cs="黑体"/>
          <w:sz w:val="32"/>
          <w:szCs w:val="32"/>
        </w:rPr>
        <w:t>201</w:t>
      </w:r>
      <w:r>
        <w:rPr>
          <w:rFonts w:hint="eastAsia" w:ascii="黑体" w:hAnsi="黑体" w:eastAsia="黑体" w:cs="黑体"/>
          <w:sz w:val="32"/>
          <w:szCs w:val="32"/>
        </w:rPr>
        <w:t>8年度部门预算表</w:t>
      </w:r>
    </w:p>
    <w:p>
      <w:pPr>
        <w:jc w:val="left"/>
        <w:rPr>
          <w:rFonts w:ascii="宋体" w:cs="宋体"/>
          <w:sz w:val="32"/>
          <w:szCs w:val="32"/>
        </w:rPr>
      </w:pPr>
      <w:r>
        <w:rPr>
          <w:rFonts w:hint="eastAsia" w:ascii="宋体" w:hAnsi="宋体" w:cs="宋体"/>
          <w:sz w:val="32"/>
          <w:szCs w:val="32"/>
        </w:rPr>
        <w:t>一、收入支出预算总表</w:t>
      </w:r>
    </w:p>
    <w:p>
      <w:pPr>
        <w:jc w:val="left"/>
        <w:rPr>
          <w:rFonts w:ascii="宋体" w:cs="宋体"/>
          <w:sz w:val="32"/>
          <w:szCs w:val="32"/>
        </w:rPr>
      </w:pPr>
      <w:r>
        <w:rPr>
          <w:rFonts w:hint="eastAsia" w:ascii="宋体" w:hAnsi="宋体" w:cs="宋体"/>
          <w:sz w:val="32"/>
          <w:szCs w:val="32"/>
        </w:rPr>
        <w:t>二、收入预算表</w:t>
      </w:r>
    </w:p>
    <w:p>
      <w:pPr>
        <w:jc w:val="left"/>
        <w:rPr>
          <w:rFonts w:ascii="宋体" w:cs="宋体"/>
          <w:sz w:val="32"/>
          <w:szCs w:val="32"/>
        </w:rPr>
      </w:pPr>
      <w:r>
        <w:rPr>
          <w:rFonts w:hint="eastAsia" w:ascii="宋体" w:hAnsi="宋体" w:cs="宋体"/>
          <w:sz w:val="32"/>
          <w:szCs w:val="32"/>
        </w:rPr>
        <w:t>三、支出预算表</w:t>
      </w:r>
    </w:p>
    <w:p>
      <w:pPr>
        <w:jc w:val="left"/>
        <w:rPr>
          <w:rFonts w:ascii="宋体" w:cs="宋体"/>
          <w:sz w:val="32"/>
          <w:szCs w:val="32"/>
        </w:rPr>
      </w:pPr>
      <w:r>
        <w:rPr>
          <w:rFonts w:hint="eastAsia" w:ascii="宋体" w:hAnsi="宋体" w:cs="宋体"/>
          <w:sz w:val="32"/>
          <w:szCs w:val="32"/>
        </w:rPr>
        <w:t>四、财政拨款收入支出预算总表</w:t>
      </w:r>
    </w:p>
    <w:p>
      <w:pPr>
        <w:jc w:val="left"/>
        <w:rPr>
          <w:rFonts w:ascii="宋体" w:cs="宋体"/>
          <w:sz w:val="32"/>
          <w:szCs w:val="32"/>
        </w:rPr>
      </w:pPr>
      <w:r>
        <w:rPr>
          <w:rFonts w:hint="eastAsia" w:ascii="宋体" w:hAnsi="宋体" w:cs="宋体"/>
          <w:sz w:val="32"/>
          <w:szCs w:val="32"/>
        </w:rPr>
        <w:t>五、一般公共预算财政拨款支出预算表</w:t>
      </w:r>
    </w:p>
    <w:p>
      <w:pPr>
        <w:jc w:val="left"/>
        <w:rPr>
          <w:rFonts w:ascii="宋体" w:cs="宋体"/>
          <w:sz w:val="32"/>
          <w:szCs w:val="32"/>
        </w:rPr>
      </w:pPr>
      <w:r>
        <w:rPr>
          <w:rFonts w:hint="eastAsia" w:ascii="宋体" w:hAnsi="宋体" w:cs="宋体"/>
          <w:sz w:val="32"/>
          <w:szCs w:val="32"/>
        </w:rPr>
        <w:t>六、一般公共预算财政拨款基本支出预算表</w:t>
      </w:r>
    </w:p>
    <w:p>
      <w:pPr>
        <w:jc w:val="left"/>
        <w:rPr>
          <w:rFonts w:ascii="宋体" w:cs="宋体"/>
          <w:sz w:val="32"/>
          <w:szCs w:val="32"/>
        </w:rPr>
      </w:pPr>
      <w:r>
        <w:rPr>
          <w:rFonts w:hint="eastAsia" w:ascii="宋体" w:hAnsi="宋体" w:cs="宋体"/>
          <w:sz w:val="32"/>
          <w:szCs w:val="32"/>
        </w:rPr>
        <w:t>七、一般公共预算财政拨款“三公”经费支出预算表</w:t>
      </w:r>
    </w:p>
    <w:p>
      <w:pPr>
        <w:jc w:val="left"/>
        <w:rPr>
          <w:rFonts w:ascii="宋体" w:cs="宋体"/>
          <w:sz w:val="32"/>
          <w:szCs w:val="32"/>
        </w:rPr>
      </w:pPr>
      <w:r>
        <w:rPr>
          <w:rFonts w:hint="eastAsia" w:ascii="宋体" w:hAnsi="宋体" w:cs="宋体"/>
          <w:sz w:val="32"/>
          <w:szCs w:val="32"/>
        </w:rPr>
        <w:t>八、政府性基金预算财政拨款收入支出预算表</w:t>
      </w:r>
    </w:p>
    <w:p>
      <w:pPr>
        <w:jc w:val="left"/>
        <w:rPr>
          <w:rFonts w:ascii="黑体" w:hAnsi="黑体" w:eastAsia="黑体" w:cs="黑体"/>
          <w:sz w:val="32"/>
          <w:szCs w:val="32"/>
        </w:rPr>
      </w:pPr>
      <w:r>
        <w:rPr>
          <w:rFonts w:hint="eastAsia" w:ascii="黑体" w:hAnsi="黑体" w:eastAsia="黑体" w:cs="黑体"/>
          <w:sz w:val="32"/>
          <w:szCs w:val="32"/>
        </w:rPr>
        <w:t>第三部分　　区科协</w:t>
      </w:r>
      <w:r>
        <w:rPr>
          <w:rFonts w:ascii="黑体" w:hAnsi="黑体" w:eastAsia="黑体" w:cs="黑体"/>
          <w:sz w:val="32"/>
          <w:szCs w:val="32"/>
        </w:rPr>
        <w:t>201</w:t>
      </w:r>
      <w:r>
        <w:rPr>
          <w:rFonts w:hint="eastAsia" w:ascii="黑体" w:hAnsi="黑体" w:eastAsia="黑体" w:cs="黑体"/>
          <w:sz w:val="32"/>
          <w:szCs w:val="32"/>
        </w:rPr>
        <w:t>8年度部门预算情况说明</w:t>
      </w:r>
    </w:p>
    <w:p>
      <w:pPr>
        <w:jc w:val="left"/>
        <w:rPr>
          <w:rFonts w:ascii="黑体" w:hAnsi="黑体" w:eastAsia="黑体"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 xml:space="preserve">  </w:t>
      </w:r>
    </w:p>
    <w:p>
      <w:pPr>
        <w:jc w:val="center"/>
        <w:outlineLvl w:val="0"/>
        <w:rPr>
          <w:rFonts w:ascii="隶书" w:hAnsi="隶书" w:eastAsia="隶书" w:cs="隶书"/>
          <w:sz w:val="48"/>
          <w:szCs w:val="48"/>
        </w:rPr>
      </w:pPr>
      <w:r>
        <w:rPr>
          <w:rFonts w:hint="eastAsia" w:ascii="隶书" w:hAnsi="隶书" w:eastAsia="隶书" w:cs="隶书"/>
          <w:sz w:val="48"/>
          <w:szCs w:val="48"/>
        </w:rPr>
        <w:t>第一部分　　区科协概况</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outlineLvl w:val="0"/>
        <w:rPr>
          <w:rFonts w:ascii="隶书" w:hAnsi="隶书" w:eastAsia="隶书"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widowControl/>
        <w:spacing w:line="600" w:lineRule="exact"/>
        <w:ind w:firstLine="640" w:firstLineChars="200"/>
        <w:jc w:val="left"/>
        <w:rPr>
          <w:rFonts w:ascii="仿宋_GB2312" w:hAnsi="宋体" w:eastAsia="仿宋_GB2312" w:cs="仿宋_GB2312"/>
          <w:b/>
          <w:bCs/>
          <w:color w:val="333333"/>
          <w:kern w:val="0"/>
          <w:sz w:val="32"/>
          <w:szCs w:val="32"/>
        </w:rPr>
      </w:pPr>
      <w:r>
        <w:rPr>
          <w:rFonts w:hint="eastAsia" w:ascii="仿宋_GB2312" w:eastAsia="仿宋_GB2312"/>
          <w:sz w:val="32"/>
          <w:szCs w:val="32"/>
        </w:rPr>
        <w:t>（一）</w:t>
      </w:r>
      <w:r>
        <w:rPr>
          <w:rFonts w:hint="eastAsia" w:ascii="仿宋_GB2312" w:hAnsi="宋体" w:eastAsia="仿宋_GB2312" w:cs="仿宋_GB2312"/>
          <w:b/>
          <w:bCs/>
          <w:color w:val="333333"/>
          <w:kern w:val="0"/>
          <w:sz w:val="32"/>
          <w:szCs w:val="32"/>
        </w:rPr>
        <w:t>部门机构设置、职能</w:t>
      </w:r>
    </w:p>
    <w:p>
      <w:pPr>
        <w:widowControl/>
        <w:spacing w:line="600" w:lineRule="exact"/>
        <w:ind w:firstLine="640" w:firstLineChars="200"/>
        <w:jc w:val="left"/>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t>浉河区科学技术协会是浉河区科学技术工作者的群众组织，是中共浉河区委领导下的人民团体，是党和政府联系科学技术工作者的桥梁和纽带，是推动科学技术事业发展的重要力量。区科协</w:t>
      </w:r>
      <w:r>
        <w:rPr>
          <w:rFonts w:hint="eastAsia" w:ascii="仿宋_GB2312" w:hAnsi="宋体" w:eastAsia="仿宋_GB2312" w:cs="宋体"/>
          <w:kern w:val="0"/>
          <w:sz w:val="32"/>
          <w:szCs w:val="32"/>
          <w:lang w:val="zh-CN"/>
        </w:rPr>
        <w:t>内设1部1室，即科普学会部和机关办公室；下属2个自收自支事业单位，即科技进修学院和科技咨询中心。</w:t>
      </w:r>
      <w:r>
        <w:rPr>
          <w:rFonts w:hint="eastAsia" w:ascii="仿宋_GB2312" w:hAnsi="宋体" w:eastAsia="仿宋_GB2312" w:cs="仿宋_GB2312"/>
          <w:color w:val="333333"/>
          <w:kern w:val="0"/>
          <w:sz w:val="32"/>
          <w:szCs w:val="32"/>
        </w:rPr>
        <w:br w:type="textWrapping"/>
      </w:r>
      <w:r>
        <w:rPr>
          <w:rFonts w:hint="eastAsia" w:ascii="仿宋_GB2312" w:hAnsi="宋体" w:eastAsia="仿宋_GB2312" w:cs="仿宋_GB2312"/>
          <w:color w:val="333333"/>
          <w:kern w:val="0"/>
          <w:sz w:val="32"/>
          <w:szCs w:val="32"/>
        </w:rPr>
        <w:t>　　主要职能：</w:t>
      </w:r>
    </w:p>
    <w:p>
      <w:pPr>
        <w:widowControl/>
        <w:spacing w:line="600" w:lineRule="exact"/>
        <w:ind w:firstLine="640" w:firstLineChars="200"/>
        <w:jc w:val="left"/>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sym w:font="Wingdings" w:char="F081"/>
      </w:r>
      <w:r>
        <w:rPr>
          <w:rFonts w:hint="eastAsia" w:ascii="仿宋_GB2312" w:hAnsi="宋体" w:eastAsia="仿宋_GB2312" w:cs="仿宋_GB2312"/>
          <w:color w:val="333333"/>
          <w:kern w:val="0"/>
          <w:sz w:val="32"/>
          <w:szCs w:val="32"/>
        </w:rPr>
        <w:t>开展学术交流，活跃学术思想，组织协调浉河区科协系统综合性、多学科的学术研讨活动，促进学科发展、知识创新。</w:t>
      </w:r>
    </w:p>
    <w:p>
      <w:pPr>
        <w:widowControl/>
        <w:spacing w:line="600" w:lineRule="exact"/>
        <w:ind w:firstLine="640" w:firstLineChars="200"/>
        <w:jc w:val="left"/>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sym w:font="Wingdings" w:char="F082"/>
      </w:r>
      <w:r>
        <w:rPr>
          <w:rFonts w:hint="eastAsia" w:ascii="仿宋_GB2312" w:hAnsi="宋体" w:eastAsia="仿宋_GB2312" w:cs="仿宋_GB2312"/>
          <w:color w:val="333333"/>
          <w:kern w:val="0"/>
          <w:sz w:val="32"/>
          <w:szCs w:val="32"/>
        </w:rPr>
        <w:t>在区委、区政府指导下，按照国家有关科普工作的法律法规以及方针规划，协助制定落实本区科普工作规划、计划，并对各部门、各单位的科普工作进行业务指导；动员社会力量，落实全民科学素质行动纲要计划，开展全区科普活动和青少年科技教育活动；协助有关方面推广先进技术；指导科普工作队伍的建设工作。</w:t>
      </w:r>
    </w:p>
    <w:p>
      <w:pPr>
        <w:widowControl/>
        <w:spacing w:line="600" w:lineRule="exact"/>
        <w:ind w:firstLine="640" w:firstLineChars="200"/>
        <w:jc w:val="left"/>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sym w:font="Wingdings" w:char="F083"/>
      </w:r>
      <w:r>
        <w:rPr>
          <w:rFonts w:hint="eastAsia" w:ascii="仿宋_GB2312" w:hAnsi="宋体" w:eastAsia="仿宋_GB2312" w:cs="仿宋_GB2312"/>
          <w:color w:val="333333"/>
          <w:kern w:val="0"/>
          <w:sz w:val="32"/>
          <w:szCs w:val="32"/>
        </w:rPr>
        <w:t>全心全意为科技工作者服务，反映科技工作者的意见和要求，维护科技工作者的合法权益。</w:t>
      </w:r>
    </w:p>
    <w:p>
      <w:pPr>
        <w:widowControl/>
        <w:spacing w:line="600" w:lineRule="exact"/>
        <w:ind w:firstLine="640" w:firstLineChars="200"/>
        <w:jc w:val="left"/>
        <w:rPr>
          <w:rFonts w:ascii="仿宋_GB2312" w:hAnsi="宋体" w:eastAsia="仿宋_GB2312" w:cs="仿宋_GB2312"/>
          <w:color w:val="333333"/>
          <w:kern w:val="0"/>
          <w:sz w:val="32"/>
          <w:szCs w:val="32"/>
        </w:rPr>
      </w:pPr>
      <w:r>
        <w:rPr>
          <w:rFonts w:hint="eastAsia" w:ascii="仿宋_GB2312" w:hAnsi="仿宋_GB2312" w:eastAsia="仿宋_GB2312" w:cs="仿宋_GB2312"/>
          <w:color w:val="333333"/>
          <w:kern w:val="0"/>
          <w:sz w:val="32"/>
          <w:szCs w:val="32"/>
        </w:rPr>
        <w:t>④</w:t>
      </w:r>
      <w:r>
        <w:rPr>
          <w:rFonts w:hint="eastAsia" w:ascii="仿宋_GB2312" w:hAnsi="宋体" w:eastAsia="仿宋_GB2312" w:cs="仿宋_GB2312"/>
          <w:color w:val="333333"/>
          <w:kern w:val="0"/>
          <w:sz w:val="32"/>
          <w:szCs w:val="32"/>
        </w:rPr>
        <w:t>引导科技工作者在国家及浉河区的社会管理事务中发挥作用，组织科技工作者参与制定浉河区科学技术政策、法规，并积极参加政治协商、科学决策、民主监督工作，促进决策科学化、民主化。</w:t>
      </w:r>
    </w:p>
    <w:p>
      <w:pPr>
        <w:widowControl/>
        <w:spacing w:line="600" w:lineRule="exact"/>
        <w:ind w:firstLine="640" w:firstLineChars="200"/>
        <w:jc w:val="left"/>
      </w:pPr>
      <w:r>
        <w:rPr>
          <w:rFonts w:hint="eastAsia" w:ascii="仿宋_GB2312" w:hAnsi="仿宋_GB2312" w:eastAsia="仿宋_GB2312" w:cs="仿宋_GB2312"/>
          <w:color w:val="333333"/>
          <w:kern w:val="0"/>
          <w:sz w:val="32"/>
          <w:szCs w:val="32"/>
        </w:rPr>
        <w:t>⑤</w:t>
      </w:r>
      <w:r>
        <w:rPr>
          <w:rFonts w:hint="eastAsia" w:ascii="仿宋_GB2312" w:hAnsi="宋体" w:eastAsia="仿宋_GB2312" w:cs="仿宋_GB2312"/>
          <w:color w:val="333333"/>
          <w:kern w:val="0"/>
          <w:sz w:val="32"/>
          <w:szCs w:val="32"/>
        </w:rPr>
        <w:t>按照我区表彰奖励的有关规定，做好表彰、宣传优秀科普工作先进单位和先进个人的工作；开展科技工作者的继续教育和培训工作。</w:t>
      </w:r>
    </w:p>
    <w:p>
      <w:pPr>
        <w:widowControl/>
        <w:spacing w:line="600" w:lineRule="exact"/>
        <w:ind w:firstLine="645"/>
        <w:jc w:val="left"/>
        <w:rPr>
          <w:rFonts w:ascii="仿宋_GB2312" w:eastAsia="仿宋_GB2312"/>
          <w:sz w:val="32"/>
          <w:szCs w:val="32"/>
        </w:rPr>
      </w:pPr>
      <w:r>
        <w:rPr>
          <w:rFonts w:hint="eastAsia" w:ascii="仿宋_GB2312" w:eastAsia="仿宋_GB2312"/>
          <w:sz w:val="32"/>
          <w:szCs w:val="32"/>
        </w:rPr>
        <w:t>（二）人员编制基本情况</w:t>
      </w:r>
      <w:r>
        <w:rPr>
          <w:rFonts w:hint="eastAsia" w:ascii="仿宋_GB2312" w:hAnsi="宋体" w:eastAsia="仿宋_GB2312" w:cs="仿宋_GB2312"/>
          <w:b/>
          <w:color w:val="333333"/>
          <w:kern w:val="0"/>
          <w:sz w:val="32"/>
          <w:szCs w:val="32"/>
        </w:rPr>
        <w:t>。</w:t>
      </w:r>
      <w:r>
        <w:rPr>
          <w:rFonts w:hint="eastAsia" w:ascii="仿宋_GB2312" w:hAnsi="宋体" w:eastAsia="仿宋_GB2312" w:cs="仿宋_GB2312"/>
          <w:color w:val="333333"/>
          <w:kern w:val="0"/>
          <w:sz w:val="32"/>
          <w:szCs w:val="32"/>
        </w:rPr>
        <w:t>共有编制人数15人，其中：行政</w:t>
      </w:r>
      <w:r>
        <w:rPr>
          <w:rFonts w:hint="eastAsia" w:ascii="仿宋_GB2312" w:hAnsi="宋体" w:eastAsia="仿宋_GB2312" w:cs="宋体"/>
          <w:kern w:val="0"/>
          <w:sz w:val="32"/>
          <w:szCs w:val="32"/>
          <w:lang w:val="zh-CN"/>
        </w:rPr>
        <w:t>编制5人，自收自支事业编制10人。实有人数19人，其中：实有在职人员13人，退休人员6人。</w:t>
      </w:r>
    </w:p>
    <w:p>
      <w:pPr>
        <w:spacing w:line="360" w:lineRule="auto"/>
        <w:ind w:left="640"/>
        <w:jc w:val="left"/>
        <w:outlineLvl w:val="1"/>
        <w:rPr>
          <w:rFonts w:ascii="黑体" w:hAnsi="黑体" w:eastAsia="黑体" w:cs="黑体"/>
          <w:sz w:val="32"/>
          <w:szCs w:val="32"/>
        </w:rPr>
      </w:pPr>
      <w:r>
        <w:rPr>
          <w:rFonts w:hint="eastAsia" w:ascii="黑体" w:hAnsi="黑体" w:eastAsia="黑体" w:cs="黑体"/>
          <w:sz w:val="32"/>
          <w:szCs w:val="32"/>
        </w:rPr>
        <w:t>二、部门预算单位构成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纳入区科协2018年度部门预算编制范围的单位包括：</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1.浉河区科学技术协会</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2.浉河区科技进修学院</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3.浉河区科技咨询中心</w:t>
      </w: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浉河区科协</w:t>
      </w:r>
      <w:r>
        <w:rPr>
          <w:rFonts w:ascii="隶书" w:hAnsi="隶书" w:eastAsia="隶书" w:cs="隶书"/>
          <w:sz w:val="48"/>
          <w:szCs w:val="48"/>
        </w:rPr>
        <w:t>201</w:t>
      </w:r>
      <w:r>
        <w:rPr>
          <w:rFonts w:hint="eastAsia" w:ascii="隶书" w:hAnsi="隶书" w:eastAsia="隶书" w:cs="隶书"/>
          <w:sz w:val="48"/>
          <w:szCs w:val="48"/>
        </w:rPr>
        <w:t>8年度部门预算表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宋体" w:cs="宋体"/>
                <w:color w:val="000000"/>
                <w:sz w:val="16"/>
                <w:szCs w:val="16"/>
              </w:rPr>
            </w:pP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hint="eastAsia" w:ascii="宋体" w:hAnsi="宋体" w:cs="宋体"/>
                <w:color w:val="000000"/>
                <w:kern w:val="0"/>
                <w:sz w:val="16"/>
                <w:szCs w:val="16"/>
              </w:rPr>
              <w:t>100.9</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100.9</w:t>
            </w: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center"/>
              <w:textAlignment w:val="center"/>
              <w:rPr>
                <w:rFonts w:ascii="宋体" w:cs="宋体"/>
                <w:b/>
                <w:color w:val="000000"/>
                <w:sz w:val="16"/>
                <w:szCs w:val="16"/>
              </w:rPr>
            </w:pPr>
            <w:r>
              <w:rPr>
                <w:rFonts w:hint="eastAsia" w:ascii="宋体" w:cs="宋体"/>
                <w:b/>
                <w:color w:val="000000"/>
                <w:sz w:val="16"/>
                <w:szCs w:val="16"/>
              </w:rPr>
              <w:t>100.9</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100.9</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center"/>
              <w:textAlignment w:val="center"/>
              <w:rPr>
                <w:rFonts w:ascii="宋体" w:cs="宋体"/>
                <w:b/>
                <w:color w:val="000000"/>
                <w:sz w:val="16"/>
                <w:szCs w:val="16"/>
              </w:rPr>
            </w:pPr>
            <w:r>
              <w:rPr>
                <w:rFonts w:hint="eastAsia" w:ascii="宋体" w:cs="宋体"/>
                <w:b/>
                <w:color w:val="000000"/>
                <w:sz w:val="16"/>
                <w:szCs w:val="16"/>
              </w:rPr>
              <w:t>100.9</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100.9</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jc w:val="center"/>
        <w:rPr>
          <w:rFonts w:ascii="隶书" w:hAnsi="隶书" w:eastAsia="隶书" w:cs="隶书"/>
          <w:sz w:val="52"/>
          <w:szCs w:val="52"/>
        </w:rPr>
      </w:pPr>
    </w:p>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p>
        </w:tc>
        <w:tc>
          <w:tcPr>
            <w:tcW w:w="709" w:type="dxa"/>
            <w:vAlign w:val="center"/>
          </w:tcPr>
          <w:p>
            <w:pPr>
              <w:rPr>
                <w:rFonts w:ascii="宋体" w:cs="宋体"/>
                <w:color w:val="000000"/>
                <w:sz w:val="16"/>
                <w:szCs w:val="16"/>
              </w:rPr>
            </w:pPr>
          </w:p>
        </w:tc>
        <w:tc>
          <w:tcPr>
            <w:tcW w:w="104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3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p>
        </w:tc>
        <w:tc>
          <w:tcPr>
            <w:tcW w:w="709" w:type="dxa"/>
            <w:vAlign w:val="center"/>
          </w:tcPr>
          <w:p>
            <w:pPr>
              <w:rPr>
                <w:rFonts w:ascii="宋体" w:cs="宋体"/>
                <w:color w:val="000000"/>
                <w:sz w:val="16"/>
                <w:szCs w:val="16"/>
              </w:rPr>
            </w:pPr>
          </w:p>
        </w:tc>
        <w:tc>
          <w:tcPr>
            <w:tcW w:w="104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3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type="textWrapping"/>
            </w:r>
            <w:r>
              <w:rPr>
                <w:rFonts w:hint="eastAsia" w:ascii="宋体" w:hAnsi="宋体"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cs="宋体"/>
                <w:b/>
                <w:color w:val="000000"/>
                <w:szCs w:val="21"/>
              </w:rPr>
              <w:t>100.9</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b/>
                <w:szCs w:val="21"/>
              </w:rPr>
            </w:pPr>
            <w:r>
              <w:rPr>
                <w:rFonts w:hint="eastAsia"/>
                <w:b/>
                <w:szCs w:val="21"/>
              </w:rPr>
              <w:t>100.9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Cs w:val="21"/>
              </w:rPr>
            </w:pPr>
            <w:r>
              <w:rPr>
                <w:rFonts w:hint="eastAsia" w:ascii="宋体" w:cs="宋体"/>
                <w:b/>
                <w:color w:val="000000"/>
                <w:szCs w:val="21"/>
              </w:rPr>
              <w:t>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Cs w:val="21"/>
              </w:rPr>
            </w:pPr>
            <w:r>
              <w:rPr>
                <w:rFonts w:hint="eastAsia" w:ascii="宋体" w:cs="宋体"/>
                <w:b/>
                <w:color w:val="000000"/>
                <w:szCs w:val="21"/>
              </w:rPr>
              <w:t>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Cs w:val="21"/>
              </w:rPr>
            </w:pPr>
            <w:r>
              <w:rPr>
                <w:rFonts w:hint="eastAsia" w:ascii="宋体" w:cs="宋体"/>
                <w:b/>
                <w:color w:val="000000"/>
                <w:szCs w:val="21"/>
              </w:rPr>
              <w:t>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Cs w:val="21"/>
              </w:rPr>
            </w:pPr>
            <w:r>
              <w:rPr>
                <w:rFonts w:hint="eastAsia" w:ascii="宋体" w:cs="宋体"/>
                <w:b/>
                <w:color w:val="000000"/>
                <w:szCs w:val="21"/>
              </w:rPr>
              <w:t>0</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Cs w:val="21"/>
              </w:rPr>
            </w:pPr>
            <w:r>
              <w:rPr>
                <w:rFonts w:hint="eastAsia" w:ascii="宋体" w:cs="宋体"/>
                <w:b/>
                <w:color w:val="000000"/>
                <w:szCs w:val="21"/>
              </w:rPr>
              <w:t>0</w:t>
            </w: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Cs/>
                <w:color w:val="000000"/>
                <w:sz w:val="16"/>
                <w:szCs w:val="16"/>
              </w:rPr>
            </w:pPr>
            <w:r>
              <w:rPr>
                <w:rFonts w:hint="eastAsia" w:ascii="宋体" w:cs="宋体"/>
                <w:bCs/>
                <w:color w:val="000000"/>
                <w:sz w:val="16"/>
                <w:szCs w:val="16"/>
              </w:rPr>
              <w:t>2060101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Cs/>
                <w:color w:val="000000"/>
                <w:sz w:val="16"/>
                <w:szCs w:val="16"/>
              </w:rPr>
            </w:pPr>
            <w:r>
              <w:rPr>
                <w:rFonts w:hint="eastAsia" w:ascii="宋体" w:cs="宋体"/>
                <w:bCs/>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bCs/>
                <w:szCs w:val="21"/>
              </w:rPr>
            </w:pPr>
            <w:r>
              <w:rPr>
                <w:rFonts w:hint="eastAsia"/>
                <w:bCs/>
                <w:szCs w:val="21"/>
              </w:rPr>
              <w:t>37.3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bCs/>
                <w:szCs w:val="21"/>
              </w:rPr>
            </w:pPr>
            <w:r>
              <w:rPr>
                <w:rFonts w:hint="eastAsia"/>
                <w:bCs/>
                <w:szCs w:val="21"/>
              </w:rPr>
              <w:t>37.3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Cs/>
                <w:color w:val="000000"/>
                <w:sz w:val="16"/>
                <w:szCs w:val="16"/>
              </w:rPr>
            </w:pPr>
            <w:r>
              <w:rPr>
                <w:rFonts w:hint="eastAsia" w:ascii="宋体" w:cs="宋体"/>
                <w:bCs/>
                <w:color w:val="000000"/>
                <w:sz w:val="16"/>
                <w:szCs w:val="16"/>
              </w:rPr>
              <w:t>2210201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Cs/>
                <w:color w:val="000000"/>
                <w:sz w:val="16"/>
                <w:szCs w:val="16"/>
              </w:rPr>
            </w:pPr>
            <w:r>
              <w:rPr>
                <w:rFonts w:hint="eastAsia" w:ascii="宋体" w:cs="宋体"/>
                <w:bCs/>
                <w:color w:val="000000"/>
                <w:sz w:val="16"/>
                <w:szCs w:val="16"/>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bCs/>
                <w:szCs w:val="21"/>
              </w:rPr>
            </w:pPr>
            <w:r>
              <w:rPr>
                <w:rFonts w:hint="eastAsia"/>
                <w:bCs/>
                <w:szCs w:val="21"/>
              </w:rPr>
              <w:t>3.5</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bCs/>
                <w:szCs w:val="21"/>
              </w:rPr>
            </w:pPr>
            <w:r>
              <w:rPr>
                <w:rFonts w:hint="eastAsia"/>
                <w:bCs/>
                <w:szCs w:val="21"/>
              </w:rPr>
              <w:t>3.5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2101101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行政医疗保险金</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2.4</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2.4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行政养老保险金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cs="宋体"/>
                <w:color w:val="000000"/>
                <w:szCs w:val="21"/>
              </w:rPr>
              <w:t>5.9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cs="宋体"/>
                <w:color w:val="000000"/>
                <w:szCs w:val="21"/>
              </w:rPr>
              <w:t>5.9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2060702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科普专项收入</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cs="宋体"/>
                <w:color w:val="000000"/>
                <w:szCs w:val="21"/>
              </w:rPr>
              <w:t>29.8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cs="宋体"/>
                <w:color w:val="000000"/>
                <w:szCs w:val="21"/>
              </w:rPr>
              <w:t>29.8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2069999</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其他科协技术支出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cs="宋体"/>
                <w:color w:val="000000"/>
                <w:szCs w:val="21"/>
              </w:rPr>
              <w:t>22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cs="宋体"/>
                <w:color w:val="000000"/>
                <w:szCs w:val="21"/>
              </w:rPr>
              <w:t>22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type="textWrapping"/>
            </w:r>
            <w:r>
              <w:rPr>
                <w:rFonts w:hint="eastAsia" w:ascii="宋体" w:hAnsi="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100.9</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100.9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hint="eastAsia" w:ascii="宋体" w:hAnsi="宋体"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Cs/>
                <w:color w:val="000000"/>
                <w:sz w:val="16"/>
                <w:szCs w:val="16"/>
              </w:rPr>
              <w:t>2060101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Cs/>
                <w:color w:val="000000"/>
                <w:sz w:val="16"/>
                <w:szCs w:val="16"/>
              </w:rPr>
              <w:t>行政运行</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37.3</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37.3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bCs/>
                <w:color w:val="000000"/>
                <w:sz w:val="16"/>
                <w:szCs w:val="16"/>
              </w:rPr>
              <w:t>2210201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bCs/>
                <w:color w:val="000000"/>
                <w:sz w:val="16"/>
                <w:szCs w:val="16"/>
              </w:rPr>
              <w:t>住房公积金</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3.5</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3.5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1184" w:type="dxa"/>
            <w:tcBorders>
              <w:top w:val="single" w:color="000000" w:sz="4" w:space="0"/>
              <w:left w:val="single" w:color="000000" w:sz="4" w:space="0"/>
              <w:bottom w:val="single" w:color="000000" w:sz="4" w:space="0"/>
              <w:right w:val="single" w:color="000000" w:sz="12" w:space="0"/>
            </w:tcBorders>
          </w:tcPr>
          <w:p>
            <w:pPr>
              <w:jc w:val="cente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2101101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行政医疗保险金</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2.4</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2.4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1184" w:type="dxa"/>
            <w:tcBorders>
              <w:top w:val="single" w:color="000000" w:sz="4" w:space="0"/>
              <w:left w:val="single" w:color="000000" w:sz="4" w:space="0"/>
              <w:bottom w:val="single" w:color="000000" w:sz="4" w:space="0"/>
              <w:right w:val="single" w:color="000000" w:sz="12" w:space="0"/>
            </w:tcBorders>
          </w:tcPr>
          <w:p>
            <w:pPr>
              <w:jc w:val="cente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2080505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行政养老保险金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5.9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5.9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2060702</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科普专项收入</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29.8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29.8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2069999</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其他科协技术支出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22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22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注：本表反映部门本年度取得的各项支出情况。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2190"/>
        <w:gridCol w:w="278"/>
        <w:gridCol w:w="122"/>
        <w:gridCol w:w="193"/>
        <w:gridCol w:w="1102"/>
        <w:gridCol w:w="1746"/>
        <w:gridCol w:w="316"/>
        <w:gridCol w:w="203"/>
        <w:gridCol w:w="325"/>
        <w:gridCol w:w="471"/>
        <w:gridCol w:w="824"/>
        <w:gridCol w:w="175"/>
        <w:gridCol w:w="1120"/>
        <w:gridCol w:w="1300"/>
      </w:tblGrid>
      <w:tr>
        <w:tblPrEx>
          <w:tblLayout w:type="fixed"/>
          <w:tblCellMar>
            <w:top w:w="15" w:type="dxa"/>
            <w:left w:w="15" w:type="dxa"/>
            <w:bottom w:w="15" w:type="dxa"/>
            <w:right w:w="15" w:type="dxa"/>
          </w:tblCellMar>
        </w:tblPrEx>
        <w:trPr>
          <w:trHeight w:val="375" w:hRule="atLeast"/>
        </w:trPr>
        <w:tc>
          <w:tcPr>
            <w:tcW w:w="1036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80"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100.9</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100.9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100.9</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295" w:type="dxa"/>
            <w:gridSpan w:val="2"/>
            <w:tcBorders>
              <w:top w:val="single" w:color="000000" w:sz="4" w:space="0"/>
              <w:left w:val="single" w:color="000000" w:sz="4" w:space="0"/>
              <w:bottom w:val="single" w:color="000000" w:sz="4" w:space="0"/>
              <w:right w:val="single" w:color="000000" w:sz="4" w:space="0"/>
            </w:tcBorders>
          </w:tcPr>
          <w:p>
            <w:pPr>
              <w:jc w:val="right"/>
            </w:pPr>
            <w:r>
              <w:rPr>
                <w:rFonts w:hint="eastAsia"/>
              </w:rPr>
              <w:t>100.9</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color w:val="000000"/>
                <w:sz w:val="16"/>
                <w:szCs w:val="16"/>
              </w:rPr>
              <w:t>100.9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color w:val="000000"/>
                <w:sz w:val="16"/>
                <w:szCs w:val="16"/>
              </w:rPr>
              <w:t>100.9</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295" w:type="dxa"/>
            <w:gridSpan w:val="2"/>
            <w:tcBorders>
              <w:top w:val="single" w:color="000000" w:sz="4" w:space="0"/>
              <w:left w:val="single" w:color="000000" w:sz="4" w:space="0"/>
              <w:bottom w:val="single" w:color="000000" w:sz="4" w:space="0"/>
              <w:right w:val="single" w:color="000000" w:sz="4" w:space="0"/>
            </w:tcBorders>
          </w:tcPr>
          <w:p>
            <w:pPr>
              <w:jc w:val="right"/>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285" w:hRule="atLeast"/>
        </w:trPr>
        <w:tc>
          <w:tcPr>
            <w:tcW w:w="219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29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100.9</w:t>
            </w:r>
          </w:p>
        </w:tc>
        <w:tc>
          <w:tcPr>
            <w:tcW w:w="226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2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295" w:type="dxa"/>
            <w:gridSpan w:val="2"/>
            <w:tcBorders>
              <w:top w:val="single" w:color="000000" w:sz="4" w:space="0"/>
              <w:left w:val="single" w:color="000000" w:sz="4" w:space="0"/>
              <w:bottom w:val="single" w:color="000000" w:sz="12" w:space="0"/>
              <w:right w:val="single" w:color="000000" w:sz="4" w:space="0"/>
            </w:tcBorders>
          </w:tcPr>
          <w:p>
            <w:pPr>
              <w:jc w:val="right"/>
            </w:pPr>
            <w:r>
              <w:rPr>
                <w:rFonts w:hint="eastAsia"/>
              </w:rPr>
              <w:t>100.9</w:t>
            </w:r>
          </w:p>
        </w:tc>
        <w:tc>
          <w:tcPr>
            <w:tcW w:w="1295" w:type="dxa"/>
            <w:gridSpan w:val="2"/>
            <w:tcBorders>
              <w:top w:val="single" w:color="000000" w:sz="4" w:space="0"/>
              <w:left w:val="single" w:color="000000" w:sz="4" w:space="0"/>
              <w:bottom w:val="single" w:color="000000" w:sz="12" w:space="0"/>
              <w:right w:val="single" w:color="000000" w:sz="4" w:space="0"/>
            </w:tcBorders>
          </w:tcPr>
          <w:p>
            <w:pPr>
              <w:jc w:val="right"/>
            </w:pPr>
            <w:r>
              <w:rPr>
                <w:rFonts w:hint="eastAsia"/>
              </w:rPr>
              <w:t>100.9</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0</w:t>
            </w:r>
          </w:p>
        </w:tc>
      </w:tr>
      <w:tr>
        <w:tblPrEx>
          <w:tblLayout w:type="fixed"/>
          <w:tblCellMar>
            <w:top w:w="15" w:type="dxa"/>
            <w:left w:w="15" w:type="dxa"/>
            <w:bottom w:w="15" w:type="dxa"/>
            <w:right w:w="15" w:type="dxa"/>
          </w:tblCellMar>
        </w:tblPrEx>
        <w:trPr>
          <w:trHeight w:val="495" w:hRule="atLeast"/>
        </w:trPr>
        <w:tc>
          <w:tcPr>
            <w:tcW w:w="1036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注：本表反映部门本年度一般公共预算财政拨款和政府性基金预算财政拨款的总收入和年末结转结余情况。</w:t>
            </w:r>
            <w:r>
              <w:rPr>
                <w:rFonts w:ascii="宋体" w:hAnsi="宋体" w:cs="宋体"/>
                <w:color w:val="000000"/>
                <w:kern w:val="0"/>
                <w:sz w:val="16"/>
                <w:szCs w:val="16"/>
              </w:rPr>
              <w:t xml:space="preserve">             </w:t>
            </w:r>
          </w:p>
        </w:tc>
      </w:tr>
    </w:tbl>
    <w:p>
      <w:pPr>
        <w:spacing w:line="360" w:lineRule="auto"/>
        <w:rPr>
          <w:rFonts w:ascii="隶书" w:hAnsi="隶书" w:eastAsia="隶书" w:cs="隶书"/>
          <w:sz w:val="52"/>
          <w:szCs w:val="52"/>
        </w:rPr>
      </w:pPr>
      <w:r>
        <w:rPr>
          <w:rFonts w:ascii="隶书" w:hAnsi="隶书" w:eastAsia="隶书" w:cs="隶书"/>
          <w:sz w:val="52"/>
          <w:szCs w:val="52"/>
        </w:rPr>
        <w:br w:type="page"/>
      </w:r>
    </w:p>
    <w:tbl>
      <w:tblPr>
        <w:tblStyle w:val="6"/>
        <w:tblW w:w="10335" w:type="dxa"/>
        <w:tblInd w:w="-1066" w:type="dxa"/>
        <w:tblLayout w:type="fixed"/>
        <w:tblCellMar>
          <w:top w:w="15" w:type="dxa"/>
          <w:left w:w="15" w:type="dxa"/>
          <w:bottom w:w="15" w:type="dxa"/>
          <w:right w:w="15" w:type="dxa"/>
        </w:tblCellMar>
      </w:tblPr>
      <w:tblGrid>
        <w:gridCol w:w="1380"/>
        <w:gridCol w:w="675"/>
        <w:gridCol w:w="1800"/>
        <w:gridCol w:w="2160"/>
        <w:gridCol w:w="165"/>
        <w:gridCol w:w="1575"/>
        <w:gridCol w:w="420"/>
        <w:gridCol w:w="2160"/>
      </w:tblGrid>
      <w:tr>
        <w:tblPrEx>
          <w:tblLayout w:type="fixed"/>
          <w:tblCellMar>
            <w:top w:w="15" w:type="dxa"/>
            <w:left w:w="15" w:type="dxa"/>
            <w:bottom w:w="15" w:type="dxa"/>
            <w:right w:w="15" w:type="dxa"/>
          </w:tblCellMar>
        </w:tblPrEx>
        <w:trPr>
          <w:trHeight w:val="375" w:hRule="atLeast"/>
        </w:trPr>
        <w:tc>
          <w:tcPr>
            <w:tcW w:w="10335"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一般公共预算财政拨款支出预算表</w:t>
            </w:r>
          </w:p>
        </w:tc>
      </w:tr>
      <w:tr>
        <w:tblPrEx>
          <w:tblLayout w:type="fixed"/>
          <w:tblCellMar>
            <w:top w:w="15" w:type="dxa"/>
            <w:left w:w="15" w:type="dxa"/>
            <w:bottom w:w="15" w:type="dxa"/>
            <w:right w:w="15" w:type="dxa"/>
          </w:tblCellMar>
        </w:tblPrEx>
        <w:trPr>
          <w:trHeight w:val="285" w:hRule="atLeast"/>
        </w:trPr>
        <w:tc>
          <w:tcPr>
            <w:tcW w:w="2055"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2055"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85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16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160"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1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16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85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85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hint="eastAsia" w:ascii="宋体" w:hAnsi="宋体"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Cs/>
                <w:color w:val="000000"/>
                <w:sz w:val="16"/>
                <w:szCs w:val="16"/>
              </w:rPr>
              <w:t>2060101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Cs/>
                <w:color w:val="000000"/>
                <w:sz w:val="16"/>
                <w:szCs w:val="16"/>
              </w:rPr>
              <w:t>行政运行</w:t>
            </w:r>
          </w:p>
        </w:tc>
        <w:tc>
          <w:tcPr>
            <w:tcW w:w="2160"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37.3</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37.3</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bCs/>
                <w:color w:val="000000"/>
                <w:sz w:val="16"/>
                <w:szCs w:val="16"/>
              </w:rPr>
              <w:t>2210201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bCs/>
                <w:color w:val="000000"/>
                <w:sz w:val="16"/>
                <w:szCs w:val="16"/>
              </w:rPr>
              <w:t>住房公积金</w:t>
            </w:r>
          </w:p>
        </w:tc>
        <w:tc>
          <w:tcPr>
            <w:tcW w:w="2160"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3.5</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3.5</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2101101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行政医疗保险金</w:t>
            </w:r>
          </w:p>
        </w:tc>
        <w:tc>
          <w:tcPr>
            <w:tcW w:w="2160" w:type="dxa"/>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2.4</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2.4</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2080505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行政养老保险金</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5.9</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5.9</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2060702</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科普专项收入</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29.8</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29.8</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2069999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其他科协技术支出</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22</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22</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335"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42.6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58.3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30.8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0.6</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2.4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0.2</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5.9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5.2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3.5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9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3.9</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41.1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宋体" w:cs="宋体"/>
                <w:b/>
                <w:color w:val="000000"/>
                <w:sz w:val="16"/>
                <w:szCs w:val="16"/>
              </w:rPr>
            </w:pPr>
            <w:r>
              <w:rPr>
                <w:rFonts w:hint="eastAsia" w:ascii="宋体"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b/>
                <w:color w:val="000000"/>
                <w:sz w:val="16"/>
                <w:szCs w:val="16"/>
              </w:rPr>
            </w:pP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宋体" w:cs="宋体"/>
                <w:color w:val="000000"/>
                <w:sz w:val="16"/>
                <w:szCs w:val="16"/>
              </w:rPr>
            </w:pP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宋体" w:cs="宋体"/>
                <w:color w:val="000000"/>
                <w:sz w:val="16"/>
                <w:szCs w:val="16"/>
              </w:rPr>
            </w:pP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w:t>
            </w:r>
            <w:r>
              <w:rPr>
                <w:rFonts w:hint="eastAsia" w:ascii="宋体" w:hAnsi="宋体" w:cs="宋体"/>
                <w:b/>
                <w:color w:val="000000"/>
                <w:kern w:val="0"/>
                <w:sz w:val="16"/>
                <w:szCs w:val="16"/>
              </w:rPr>
              <w:t>7年度预算数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w:t>
            </w:r>
            <w:r>
              <w:rPr>
                <w:rFonts w:hint="eastAsia" w:ascii="宋体" w:hAnsi="宋体" w:cs="宋体"/>
                <w:b/>
                <w:color w:val="000000"/>
                <w:kern w:val="0"/>
                <w:sz w:val="16"/>
                <w:szCs w:val="16"/>
              </w:rPr>
              <w:t>8年度预算数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5.5</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5.5</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5.5</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5.2</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5.2</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5.2</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kern w:val="0"/>
                <w:sz w:val="16"/>
                <w:szCs w:val="16"/>
              </w:rPr>
            </w:pP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政府性基金预算财政拨款收入支出预算表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宋体" w:cs="宋体"/>
                <w:b/>
                <w:color w:val="FF0000"/>
                <w:sz w:val="20"/>
                <w:szCs w:val="20"/>
              </w:rPr>
            </w:pPr>
            <w:r>
              <w:rPr>
                <w:rFonts w:hint="eastAsia" w:ascii="宋体" w:hAnsi="宋体" w:cs="宋体"/>
                <w:b/>
                <w:color w:val="FF0000"/>
                <w:kern w:val="0"/>
                <w:sz w:val="20"/>
                <w:szCs w:val="20"/>
              </w:rPr>
              <w:t>说明：没有政府性基金收入，也没有使用政府性基金安排的支出，故本表无数据。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浉河区科协</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201</w:t>
      </w:r>
      <w:r>
        <w:rPr>
          <w:rFonts w:hint="eastAsia" w:ascii="隶书" w:hAnsi="隶书" w:eastAsia="隶书" w:cs="隶书"/>
          <w:sz w:val="48"/>
          <w:szCs w:val="48"/>
        </w:rPr>
        <w:t>8年度部门预算情况说明</w:t>
      </w:r>
    </w:p>
    <w:p>
      <w:pPr>
        <w:adjustRightInd w:val="0"/>
        <w:snapToGrid w:val="0"/>
        <w:spacing w:line="360" w:lineRule="auto"/>
        <w:ind w:left="420" w:leftChars="200"/>
        <w:outlineLvl w:val="1"/>
        <w:rPr>
          <w:rFonts w:ascii="黑体" w:hAnsi="黑体" w:eastAsia="黑体"/>
          <w:sz w:val="32"/>
          <w:szCs w:val="32"/>
        </w:rPr>
      </w:pP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一、关于收入支出预算总体情况说明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年度收入总计</w:t>
      </w:r>
      <w:r>
        <w:rPr>
          <w:rFonts w:hint="eastAsia" w:ascii="??_GB2312" w:hAnsi="宋体" w:cs="Courier New" w:eastAsiaTheme="minorEastAsia"/>
          <w:sz w:val="32"/>
          <w:szCs w:val="32"/>
        </w:rPr>
        <w:t>100.9</w:t>
      </w:r>
      <w:r>
        <w:rPr>
          <w:rFonts w:ascii="??_GB2312" w:hAnsi="宋体" w:eastAsia="Times New Roman" w:cs="Courier New"/>
          <w:sz w:val="32"/>
          <w:szCs w:val="32"/>
        </w:rPr>
        <w:t>万元，支出总计</w:t>
      </w:r>
      <w:r>
        <w:rPr>
          <w:rFonts w:hint="eastAsia" w:ascii="??_GB2312" w:hAnsi="宋体" w:cs="Courier New" w:eastAsiaTheme="minorEastAsia"/>
          <w:sz w:val="32"/>
          <w:szCs w:val="32"/>
        </w:rPr>
        <w:t>100.9</w:t>
      </w:r>
      <w:r>
        <w:rPr>
          <w:rFonts w:ascii="??_GB2312" w:hAnsi="宋体" w:eastAsia="Times New Roman" w:cs="Courier New"/>
          <w:sz w:val="32"/>
          <w:szCs w:val="32"/>
        </w:rPr>
        <w:t>万元，与201</w:t>
      </w:r>
      <w:r>
        <w:rPr>
          <w:rFonts w:hint="eastAsia" w:ascii="??_GB2312" w:hAnsi="宋体" w:cs="Courier New"/>
          <w:sz w:val="32"/>
          <w:szCs w:val="32"/>
        </w:rPr>
        <w:t>7</w:t>
      </w:r>
      <w:r>
        <w:rPr>
          <w:rFonts w:ascii="??_GB2312" w:hAnsi="宋体" w:eastAsia="Times New Roman" w:cs="Courier New"/>
          <w:sz w:val="32"/>
          <w:szCs w:val="32"/>
        </w:rPr>
        <w:t>年相比，收入</w:t>
      </w:r>
      <w:r>
        <w:rPr>
          <w:rFonts w:hint="eastAsia" w:ascii="??_GB2312" w:hAnsi="宋体" w:cs="Courier New" w:eastAsiaTheme="minorEastAsia"/>
          <w:sz w:val="32"/>
          <w:szCs w:val="32"/>
        </w:rPr>
        <w:t>增加3.3</w:t>
      </w:r>
      <w:r>
        <w:rPr>
          <w:rFonts w:ascii="??_GB2312" w:hAnsi="宋体" w:eastAsia="Times New Roman" w:cs="Courier New"/>
          <w:sz w:val="32"/>
          <w:szCs w:val="32"/>
        </w:rPr>
        <w:t>万元，</w:t>
      </w:r>
      <w:r>
        <w:rPr>
          <w:rFonts w:hint="eastAsia" w:ascii="??_GB2312" w:hAnsi="宋体" w:cs="Courier New" w:eastAsiaTheme="minorEastAsia"/>
          <w:sz w:val="32"/>
          <w:szCs w:val="32"/>
        </w:rPr>
        <w:t>支出增加3.3</w:t>
      </w:r>
      <w:r>
        <w:rPr>
          <w:rFonts w:ascii="??_GB2312" w:hAnsi="宋体" w:eastAsia="Times New Roman" w:cs="Courier New"/>
          <w:sz w:val="32"/>
          <w:szCs w:val="32"/>
        </w:rPr>
        <w:t>万元，</w:t>
      </w:r>
      <w:r>
        <w:rPr>
          <w:rFonts w:hint="eastAsia" w:ascii="??_GB2312" w:hAnsi="宋体" w:cs="Courier New" w:eastAsiaTheme="minorEastAsia"/>
          <w:sz w:val="32"/>
          <w:szCs w:val="32"/>
        </w:rPr>
        <w:t>增浮3.4</w:t>
      </w:r>
      <w:r>
        <w:rPr>
          <w:rFonts w:ascii="??_GB2312" w:hAnsi="宋体" w:eastAsia="Times New Roman" w:cs="Courier New"/>
          <w:sz w:val="32"/>
          <w:szCs w:val="32"/>
        </w:rPr>
        <w:t>%。</w:t>
      </w:r>
      <w:r>
        <w:rPr>
          <w:rFonts w:hint="eastAsia" w:ascii="??_GB2312" w:hAnsi="宋体" w:cs="Courier New"/>
          <w:sz w:val="32"/>
          <w:szCs w:val="32"/>
        </w:rPr>
        <w:t>2018年预算中，考虑到人员工资可能组长，因此人员经费增加3.3万元</w:t>
      </w:r>
      <w:r>
        <w:rPr>
          <w:rFonts w:hint="eastAsia" w:ascii="??_GB2312" w:hAnsi="宋体" w:cs="Courier New" w:eastAsiaTheme="minorEastAsia"/>
          <w:sz w:val="32"/>
          <w:szCs w:val="32"/>
        </w:rPr>
        <w:t>。</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二、关于收入预算情况说明</w:t>
      </w:r>
    </w:p>
    <w:p>
      <w:pPr>
        <w:adjustRightInd w:val="0"/>
        <w:snapToGrid w:val="0"/>
        <w:spacing w:line="360" w:lineRule="auto"/>
        <w:ind w:firstLine="640" w:firstLineChars="200"/>
        <w:rPr>
          <w:rFonts w:ascii="??_GB2312" w:hAnsi="Times New Roman" w:eastAsia="Times New Roman"/>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w:t>
      </w:r>
      <w:r>
        <w:rPr>
          <w:rFonts w:ascii="??_GB2312" w:hAnsi="Times New Roman" w:eastAsia="Times New Roman"/>
          <w:sz w:val="32"/>
          <w:szCs w:val="32"/>
        </w:rPr>
        <w:t>收入合计</w:t>
      </w:r>
      <w:r>
        <w:rPr>
          <w:rFonts w:hint="eastAsia" w:ascii="??_GB2312" w:hAnsi="宋体" w:cs="Courier New" w:eastAsiaTheme="minorEastAsia"/>
          <w:sz w:val="32"/>
          <w:szCs w:val="32"/>
        </w:rPr>
        <w:t>100.9</w:t>
      </w:r>
      <w:r>
        <w:rPr>
          <w:rFonts w:ascii="??_GB2312" w:hAnsi="Times New Roman" w:eastAsia="Times New Roman"/>
          <w:sz w:val="32"/>
          <w:szCs w:val="32"/>
        </w:rPr>
        <w:t>万元，其中：财政拨款收入</w:t>
      </w:r>
      <w:r>
        <w:rPr>
          <w:rFonts w:hint="eastAsia" w:ascii="??_GB2312" w:hAnsi="宋体" w:cs="Courier New" w:eastAsiaTheme="minorEastAsia"/>
          <w:sz w:val="32"/>
          <w:szCs w:val="32"/>
        </w:rPr>
        <w:t>100.9</w:t>
      </w:r>
      <w:r>
        <w:rPr>
          <w:rFonts w:ascii="??_GB2312" w:hAnsi="Times New Roman" w:eastAsia="Times New Roman"/>
          <w:sz w:val="32"/>
          <w:szCs w:val="32"/>
        </w:rPr>
        <w:t>万元，占100 %；事业收入0 万元，占 0 %；经营收入0万元，占 0 %；其他收入0万元，占0 %。</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三、关于支出预算情况说明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年度支出合计</w:t>
      </w:r>
      <w:r>
        <w:rPr>
          <w:rFonts w:hint="eastAsia" w:ascii="??_GB2312" w:hAnsi="宋体" w:cs="Courier New" w:eastAsiaTheme="minorEastAsia"/>
          <w:sz w:val="32"/>
          <w:szCs w:val="32"/>
        </w:rPr>
        <w:t>100.9</w:t>
      </w:r>
      <w:r>
        <w:rPr>
          <w:rFonts w:ascii="??_GB2312" w:hAnsi="宋体" w:eastAsia="Times New Roman" w:cs="Courier New"/>
          <w:sz w:val="32"/>
          <w:szCs w:val="32"/>
        </w:rPr>
        <w:t>万元，其中：基本支出</w:t>
      </w:r>
      <w:r>
        <w:rPr>
          <w:rFonts w:hint="eastAsia" w:ascii="??_GB2312" w:hAnsi="宋体" w:cs="Courier New" w:eastAsiaTheme="minorEastAsia"/>
          <w:sz w:val="32"/>
          <w:szCs w:val="32"/>
        </w:rPr>
        <w:t>100.9</w:t>
      </w:r>
      <w:r>
        <w:rPr>
          <w:rFonts w:ascii="??_GB2312" w:hAnsi="宋体" w:eastAsia="Times New Roman" w:cs="Courier New"/>
          <w:sz w:val="32"/>
          <w:szCs w:val="32"/>
        </w:rPr>
        <w:t>万元，占0%；项目支出0万元，占0%；经营支出0万元，占0%。</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四、关于财政拨款收入支出预算总体情况说明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年财政拨款收支总</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eastAsiaTheme="minorEastAsia"/>
          <w:sz w:val="32"/>
          <w:szCs w:val="32"/>
        </w:rPr>
        <w:t>100.9</w:t>
      </w:r>
      <w:r>
        <w:rPr>
          <w:rFonts w:ascii="??_GB2312" w:hAnsi="宋体" w:eastAsia="Times New Roman" w:cs="Courier New"/>
          <w:sz w:val="32"/>
          <w:szCs w:val="32"/>
        </w:rPr>
        <w:t>万元。与201</w:t>
      </w:r>
      <w:r>
        <w:rPr>
          <w:rFonts w:hint="eastAsia" w:ascii="??_GB2312" w:hAnsi="宋体" w:cs="Courier New"/>
          <w:sz w:val="32"/>
          <w:szCs w:val="32"/>
        </w:rPr>
        <w:t>7</w:t>
      </w:r>
      <w:r>
        <w:rPr>
          <w:rFonts w:ascii="??_GB2312" w:hAnsi="宋体" w:eastAsia="Times New Roman" w:cs="Courier New"/>
          <w:sz w:val="32"/>
          <w:szCs w:val="32"/>
        </w:rPr>
        <w:t>年相比，财政拨款收、支总计</w:t>
      </w:r>
      <w:r>
        <w:rPr>
          <w:rFonts w:hint="eastAsia" w:ascii="??_GB2312" w:hAnsi="宋体" w:cs="Courier New" w:eastAsiaTheme="minorEastAsia"/>
          <w:sz w:val="32"/>
          <w:szCs w:val="32"/>
        </w:rPr>
        <w:t>增加3.3</w:t>
      </w:r>
      <w:r>
        <w:rPr>
          <w:rFonts w:ascii="??_GB2312" w:hAnsi="宋体" w:eastAsia="Times New Roman" w:cs="Courier New"/>
          <w:sz w:val="32"/>
          <w:szCs w:val="32"/>
        </w:rPr>
        <w:t>万元，</w:t>
      </w:r>
      <w:r>
        <w:rPr>
          <w:rFonts w:hint="eastAsia" w:ascii="??_GB2312" w:hAnsi="宋体" w:cs="Courier New" w:eastAsiaTheme="minorEastAsia"/>
          <w:sz w:val="32"/>
          <w:szCs w:val="32"/>
        </w:rPr>
        <w:t>上浮3.4</w:t>
      </w:r>
      <w:r>
        <w:rPr>
          <w:rFonts w:ascii="??_GB2312" w:hAnsi="宋体" w:eastAsia="Times New Roman" w:cs="Courier New"/>
          <w:sz w:val="32"/>
          <w:szCs w:val="32"/>
        </w:rPr>
        <w:t>%。</w:t>
      </w:r>
      <w:r>
        <w:rPr>
          <w:rFonts w:hint="eastAsia" w:ascii="??_GB2312" w:hAnsi="宋体" w:cs="Courier New"/>
          <w:sz w:val="32"/>
          <w:szCs w:val="32"/>
        </w:rPr>
        <w:t>因考虑人员工资增加，人员经费预算增加3.3万元。</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五、关于</w:t>
      </w:r>
      <w:r>
        <w:rPr>
          <w:rFonts w:hint="eastAsia" w:ascii="宋体" w:hAnsi="宋体" w:cs="宋体"/>
          <w:b/>
          <w:color w:val="000000"/>
          <w:kern w:val="0"/>
          <w:sz w:val="32"/>
          <w:szCs w:val="32"/>
        </w:rPr>
        <w:t>财政拨款等支出预</w:t>
      </w:r>
      <w:r>
        <w:rPr>
          <w:rFonts w:hint="eastAsia" w:ascii="黑体" w:hAnsi="黑体" w:eastAsia="黑体"/>
          <w:sz w:val="32"/>
          <w:szCs w:val="32"/>
        </w:rPr>
        <w:t>算情况说明</w:t>
      </w:r>
    </w:p>
    <w:p>
      <w:pPr>
        <w:numPr>
          <w:ilvl w:val="0"/>
          <w:numId w:val="2"/>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财政拨款支出预算总体情况。</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w:t>
      </w:r>
      <w:r>
        <w:rPr>
          <w:rFonts w:hint="eastAsia" w:ascii="宋体" w:hAnsi="宋体" w:cs="宋体"/>
          <w:bCs/>
          <w:color w:val="000000"/>
          <w:kern w:val="0"/>
          <w:sz w:val="32"/>
          <w:szCs w:val="32"/>
        </w:rPr>
        <w:t>行政运行、住房公积金、养老保险、医疗保险、科普活动、其他科协技术支出等支出</w:t>
      </w:r>
      <w:r>
        <w:rPr>
          <w:rFonts w:hint="eastAsia" w:ascii="??_GB2312" w:hAnsi="宋体" w:cs="Courier New" w:eastAsiaTheme="minorEastAsia"/>
          <w:bCs/>
          <w:sz w:val="32"/>
          <w:szCs w:val="32"/>
        </w:rPr>
        <w:t>100.9</w:t>
      </w:r>
      <w:r>
        <w:rPr>
          <w:rFonts w:ascii="??_GB2312" w:hAnsi="宋体" w:eastAsia="Times New Roman" w:cs="Courier New"/>
          <w:bCs/>
          <w:sz w:val="32"/>
          <w:szCs w:val="32"/>
        </w:rPr>
        <w:t>万元，占支出合计的</w:t>
      </w:r>
      <w:r>
        <w:rPr>
          <w:rFonts w:hint="eastAsia" w:cs="Courier New" w:asciiTheme="minorEastAsia" w:hAnsiTheme="minorEastAsia" w:eastAsiaTheme="minorEastAsia"/>
          <w:bCs/>
          <w:sz w:val="32"/>
          <w:szCs w:val="32"/>
        </w:rPr>
        <w:t>100.9</w:t>
      </w:r>
      <w:r>
        <w:rPr>
          <w:rFonts w:ascii="??_GB2312" w:hAnsi="宋体" w:eastAsia="Times New Roman" w:cs="Courier New"/>
          <w:bCs/>
          <w:sz w:val="32"/>
          <w:szCs w:val="32"/>
        </w:rPr>
        <w:t>%。与201</w:t>
      </w:r>
      <w:r>
        <w:rPr>
          <w:rFonts w:hint="eastAsia" w:ascii="??_GB2312" w:hAnsi="宋体" w:cs="Courier New"/>
          <w:bCs/>
          <w:sz w:val="32"/>
          <w:szCs w:val="32"/>
        </w:rPr>
        <w:t>7</w:t>
      </w:r>
      <w:r>
        <w:rPr>
          <w:rFonts w:ascii="??_GB2312" w:hAnsi="宋体" w:eastAsia="Times New Roman" w:cs="Courier New"/>
          <w:bCs/>
          <w:sz w:val="32"/>
          <w:szCs w:val="32"/>
        </w:rPr>
        <w:t>年相比，</w:t>
      </w:r>
      <w:r>
        <w:rPr>
          <w:rFonts w:hint="eastAsia" w:ascii="宋体" w:hAnsi="宋体" w:cs="宋体"/>
          <w:bCs/>
          <w:color w:val="000000"/>
          <w:kern w:val="0"/>
          <w:sz w:val="32"/>
          <w:szCs w:val="32"/>
        </w:rPr>
        <w:t>行政运行、住房公积金、养老保险、养老保险等支出</w:t>
      </w:r>
      <w:r>
        <w:rPr>
          <w:rFonts w:hint="eastAsia" w:ascii="??_GB2312" w:hAnsi="宋体" w:cs="Courier New" w:eastAsiaTheme="minorEastAsia"/>
          <w:sz w:val="32"/>
          <w:szCs w:val="32"/>
        </w:rPr>
        <w:t>增加3.3</w:t>
      </w:r>
      <w:r>
        <w:rPr>
          <w:rFonts w:ascii="??_GB2312" w:hAnsi="宋体" w:eastAsia="Times New Roman" w:cs="Courier New"/>
          <w:sz w:val="32"/>
          <w:szCs w:val="32"/>
        </w:rPr>
        <w:t>万元，</w:t>
      </w:r>
      <w:r>
        <w:rPr>
          <w:rFonts w:hint="eastAsia" w:ascii="??_GB2312" w:hAnsi="宋体" w:cs="Courier New" w:eastAsiaTheme="minorEastAsia"/>
          <w:sz w:val="32"/>
          <w:szCs w:val="32"/>
        </w:rPr>
        <w:t>上浮3.4</w:t>
      </w:r>
      <w:r>
        <w:rPr>
          <w:rFonts w:ascii="??_GB2312" w:hAnsi="宋体" w:eastAsia="Times New Roman" w:cs="Courier New"/>
          <w:sz w:val="32"/>
          <w:szCs w:val="32"/>
        </w:rPr>
        <w:t>%。</w:t>
      </w:r>
      <w:r>
        <w:rPr>
          <w:rFonts w:hint="eastAsia" w:ascii="??_GB2312" w:hAnsi="宋体" w:cs="Courier New" w:eastAsiaTheme="minorEastAsia"/>
          <w:sz w:val="32"/>
          <w:szCs w:val="32"/>
        </w:rPr>
        <w:t>因为考虑到人员工资增加，2018年预算增加3.3万元。</w:t>
      </w:r>
    </w:p>
    <w:p>
      <w:pPr>
        <w:numPr>
          <w:ilvl w:val="0"/>
          <w:numId w:val="2"/>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财政拨款支出预算结构情况。</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w:t>
      </w:r>
      <w:r>
        <w:rPr>
          <w:rFonts w:hint="eastAsia" w:ascii="宋体" w:hAnsi="宋体" w:cs="宋体"/>
          <w:bCs/>
          <w:color w:val="000000"/>
          <w:kern w:val="0"/>
          <w:sz w:val="32"/>
          <w:szCs w:val="32"/>
        </w:rPr>
        <w:t>人员经费及对个人和家庭的补助等支出</w:t>
      </w:r>
      <w:r>
        <w:rPr>
          <w:rFonts w:hint="eastAsia" w:ascii="??_GB2312" w:hAnsi="宋体" w:cs="Courier New" w:eastAsiaTheme="minorEastAsia"/>
          <w:bCs/>
          <w:sz w:val="32"/>
          <w:szCs w:val="32"/>
        </w:rPr>
        <w:t>42.6</w:t>
      </w:r>
      <w:r>
        <w:rPr>
          <w:rFonts w:ascii="??_GB2312" w:hAnsi="宋体" w:eastAsia="Times New Roman" w:cs="Courier New"/>
          <w:sz w:val="32"/>
          <w:szCs w:val="32"/>
        </w:rPr>
        <w:t>万元，主要用于以下方面：</w:t>
      </w:r>
      <w:r>
        <w:rPr>
          <w:rFonts w:ascii="??_GB2312" w:hAnsi="Times New Roman" w:eastAsia="Times New Roman" w:cs="??_GB2312"/>
          <w:b/>
          <w:spacing w:val="-1"/>
          <w:kern w:val="0"/>
          <w:sz w:val="32"/>
          <w:szCs w:val="32"/>
        </w:rPr>
        <w:t>人员经费</w:t>
      </w:r>
      <w:r>
        <w:rPr>
          <w:rFonts w:hint="eastAsia" w:ascii="??_GB2312" w:hAnsi="Times New Roman" w:cs="??_GB2312" w:eastAsiaTheme="minorEastAsia"/>
          <w:bCs/>
          <w:spacing w:val="-1"/>
          <w:kern w:val="0"/>
          <w:sz w:val="32"/>
          <w:szCs w:val="32"/>
        </w:rPr>
        <w:t>42.6</w:t>
      </w:r>
      <w:r>
        <w:rPr>
          <w:rFonts w:ascii="??_GB2312" w:hAnsi="Times New Roman" w:eastAsia="Times New Roman" w:cs="??_GB2312"/>
          <w:bCs/>
          <w:spacing w:val="-1"/>
          <w:kern w:val="0"/>
          <w:sz w:val="32"/>
          <w:szCs w:val="32"/>
        </w:rPr>
        <w:t>万元</w:t>
      </w:r>
      <w:r>
        <w:rPr>
          <w:rFonts w:ascii="??_GB2312" w:hAnsi="宋体" w:eastAsia="Times New Roman" w:cs="Courier New"/>
          <w:bCs/>
          <w:sz w:val="32"/>
          <w:szCs w:val="32"/>
        </w:rPr>
        <w:t>，</w:t>
      </w:r>
      <w:r>
        <w:rPr>
          <w:rFonts w:ascii="??_GB2312" w:hAnsi="宋体" w:eastAsia="Times New Roman" w:cs="Courier New"/>
          <w:sz w:val="32"/>
          <w:szCs w:val="32"/>
        </w:rPr>
        <w:t>主要包括：基本工资</w:t>
      </w:r>
      <w:r>
        <w:rPr>
          <w:rFonts w:hint="eastAsia" w:ascii="??_GB2312" w:hAnsi="宋体" w:cs="Courier New"/>
          <w:sz w:val="32"/>
          <w:szCs w:val="32"/>
        </w:rPr>
        <w:t>30.8万元、其他社会保障费2.4万元、机关事业单位养老保险费5.9万元，对个人和家庭的补助（住房公积金）3.5万元。</w:t>
      </w:r>
      <w:r>
        <w:rPr>
          <w:rFonts w:ascii="??_GB2312" w:hAnsi="Times New Roman" w:eastAsia="Times New Roman" w:cs="??_GB2312"/>
          <w:b/>
          <w:spacing w:val="-1"/>
          <w:kern w:val="0"/>
          <w:sz w:val="32"/>
          <w:szCs w:val="32"/>
        </w:rPr>
        <w:t>公用经费</w:t>
      </w:r>
      <w:r>
        <w:rPr>
          <w:rFonts w:hint="eastAsia" w:ascii="??_GB2312" w:hAnsi="Times New Roman" w:cs="??_GB2312" w:eastAsiaTheme="minorEastAsia"/>
          <w:spacing w:val="-2"/>
          <w:kern w:val="0"/>
          <w:sz w:val="32"/>
          <w:szCs w:val="32"/>
        </w:rPr>
        <w:t>58.3</w:t>
      </w:r>
      <w:r>
        <w:rPr>
          <w:rFonts w:ascii="??_GB2312" w:hAnsi="Times New Roman" w:eastAsia="Times New Roman" w:cs="??_GB2312"/>
          <w:spacing w:val="-2"/>
          <w:kern w:val="0"/>
          <w:sz w:val="32"/>
          <w:szCs w:val="32"/>
        </w:rPr>
        <w:t>万元</w:t>
      </w:r>
      <w:r>
        <w:rPr>
          <w:rFonts w:ascii="??_GB2312" w:hAnsi="宋体" w:eastAsia="Times New Roman" w:cs="Courier New"/>
          <w:sz w:val="32"/>
          <w:szCs w:val="32"/>
        </w:rPr>
        <w:t>，主要包括：办公费</w:t>
      </w:r>
      <w:r>
        <w:rPr>
          <w:rFonts w:hint="eastAsia" w:ascii="??_GB2312" w:hAnsi="宋体" w:cs="Courier New"/>
          <w:sz w:val="32"/>
          <w:szCs w:val="32"/>
        </w:rPr>
        <w:t>0.5万元、印刷费0.6万元、水费0.2万元、电费0.5万元、邮电费0.5万元、差旅费0.5万元、会议费0.3万元、培训费3万元、公务接待费5.2万元、工会经费2万元、其他交通费用3.9万元、其他商品和服务支出41.1万元。</w:t>
      </w:r>
    </w:p>
    <w:p>
      <w:pPr>
        <w:adjustRightInd w:val="0"/>
        <w:snapToGrid w:val="0"/>
        <w:spacing w:line="360" w:lineRule="auto"/>
        <w:ind w:firstLine="320" w:firstLineChars="100"/>
        <w:outlineLvl w:val="1"/>
        <w:rPr>
          <w:rFonts w:ascii="黑体" w:hAnsi="黑体" w:eastAsia="黑体"/>
          <w:sz w:val="32"/>
          <w:szCs w:val="32"/>
        </w:rPr>
      </w:pPr>
      <w:r>
        <w:rPr>
          <w:rFonts w:hint="eastAsia" w:ascii="黑体" w:hAnsi="黑体" w:eastAsia="黑体"/>
          <w:sz w:val="32"/>
          <w:szCs w:val="32"/>
        </w:rPr>
        <w:t>六、关于“三公”经费支出预算情况说明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jc w:val="left"/>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年度“三公”经费财政拨款支出预算为</w:t>
      </w:r>
      <w:r>
        <w:rPr>
          <w:rFonts w:hint="eastAsia" w:ascii="??_GB2312" w:hAnsi="宋体" w:cs="Courier New" w:eastAsiaTheme="minorEastAsia"/>
          <w:sz w:val="32"/>
          <w:szCs w:val="32"/>
        </w:rPr>
        <w:t>5.2</w:t>
      </w:r>
      <w:r>
        <w:rPr>
          <w:rFonts w:ascii="??_GB2312" w:hAnsi="宋体" w:eastAsia="Times New Roman" w:cs="Courier New"/>
          <w:sz w:val="32"/>
          <w:szCs w:val="32"/>
        </w:rPr>
        <w:t>万元，其中：因公出国（境）费支出</w:t>
      </w:r>
      <w:r>
        <w:rPr>
          <w:rFonts w:hint="eastAsia" w:ascii="??_GB2312" w:hAnsi="宋体" w:cs="Courier New"/>
          <w:sz w:val="32"/>
          <w:szCs w:val="32"/>
        </w:rPr>
        <w:t>预算</w:t>
      </w:r>
      <w:r>
        <w:rPr>
          <w:rFonts w:ascii="??_GB2312" w:hAnsi="宋体" w:eastAsia="Times New Roman" w:cs="Courier New"/>
          <w:sz w:val="32"/>
          <w:szCs w:val="32"/>
        </w:rPr>
        <w:t>为0万元；公务用车购置及运行费支出</w:t>
      </w:r>
      <w:r>
        <w:rPr>
          <w:rFonts w:hint="eastAsia" w:ascii="??_GB2312" w:hAnsi="宋体" w:cs="Courier New"/>
          <w:sz w:val="32"/>
          <w:szCs w:val="32"/>
        </w:rPr>
        <w:t>预</w:t>
      </w:r>
      <w:r>
        <w:rPr>
          <w:rFonts w:ascii="??_GB2312" w:hAnsi="宋体" w:eastAsia="Times New Roman" w:cs="Courier New"/>
          <w:sz w:val="32"/>
          <w:szCs w:val="32"/>
        </w:rPr>
        <w:t>算为</w:t>
      </w:r>
      <w:r>
        <w:rPr>
          <w:rFonts w:hint="eastAsia" w:ascii="??_GB2312" w:hAnsi="宋体" w:cs="Courier New" w:eastAsiaTheme="minorEastAsia"/>
          <w:sz w:val="32"/>
          <w:szCs w:val="32"/>
        </w:rPr>
        <w:t>0</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算为</w:t>
      </w:r>
      <w:r>
        <w:rPr>
          <w:rFonts w:hint="eastAsia" w:ascii="??_GB2312" w:hAnsi="宋体" w:cs="Courier New" w:eastAsiaTheme="minorEastAsia"/>
          <w:sz w:val="32"/>
          <w:szCs w:val="32"/>
        </w:rPr>
        <w:t>5.2</w:t>
      </w:r>
      <w:r>
        <w:rPr>
          <w:rFonts w:ascii="??_GB2312" w:hAnsi="宋体" w:eastAsia="Times New Roman" w:cs="Courier New"/>
          <w:sz w:val="32"/>
          <w:szCs w:val="32"/>
        </w:rPr>
        <w:t>万元。</w:t>
      </w:r>
      <w:r>
        <w:rPr>
          <w:rFonts w:hint="eastAsia" w:ascii="??_GB2312" w:hAnsi="宋体" w:cs="Courier New"/>
          <w:b/>
          <w:bCs/>
          <w:sz w:val="32"/>
          <w:szCs w:val="32"/>
        </w:rPr>
        <w:t>按逐年递减比去年减少5.5%</w:t>
      </w:r>
      <w:r>
        <w:rPr>
          <w:rFonts w:hint="eastAsia" w:ascii="??_GB2312" w:hAnsi="宋体" w:cs="Courier New"/>
          <w:sz w:val="32"/>
          <w:szCs w:val="32"/>
        </w:rPr>
        <w:t>。</w:t>
      </w:r>
      <w:r>
        <w:rPr>
          <w:rFonts w:ascii="??_GB2312" w:hAnsi="宋体" w:eastAsia="Times New Roman" w:cs="Courier New"/>
          <w:sz w:val="32"/>
          <w:szCs w:val="32"/>
        </w:rPr>
        <w:t>公务接待费支出减少的主要原因是：现在公务接待的标准是同城不吃饭，禁止使用高档烟酒，禁止出入高档酒店进行招待，大大减少了公务接待费用。</w:t>
      </w:r>
    </w:p>
    <w:p>
      <w:pPr>
        <w:numPr>
          <w:ilvl w:val="0"/>
          <w:numId w:val="3"/>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年度“三公”经费财政拨款支出</w:t>
      </w:r>
      <w:r>
        <w:rPr>
          <w:rFonts w:hint="eastAsia" w:ascii="??_GB2312" w:hAnsi="宋体" w:cs="Courier New"/>
          <w:sz w:val="32"/>
          <w:szCs w:val="32"/>
        </w:rPr>
        <w:t>预</w:t>
      </w:r>
      <w:r>
        <w:rPr>
          <w:rFonts w:ascii="??_GB2312" w:hAnsi="宋体" w:eastAsia="Times New Roman" w:cs="Courier New"/>
          <w:sz w:val="32"/>
          <w:szCs w:val="32"/>
        </w:rPr>
        <w:t>算中，因公出国（境）费支出</w:t>
      </w:r>
      <w:r>
        <w:rPr>
          <w:rFonts w:hint="eastAsia" w:ascii="??_GB2312" w:hAnsi="宋体" w:cs="Courier New"/>
          <w:sz w:val="32"/>
          <w:szCs w:val="32"/>
        </w:rPr>
        <w:t>预</w:t>
      </w:r>
      <w:r>
        <w:rPr>
          <w:rFonts w:ascii="??_GB2312" w:hAnsi="宋体" w:eastAsia="Times New Roman" w:cs="Courier New"/>
          <w:sz w:val="32"/>
          <w:szCs w:val="32"/>
        </w:rPr>
        <w:t>算0万元，占0 %；公务用车购置及运行费支出</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eastAsiaTheme="minorEastAsia"/>
          <w:sz w:val="32"/>
          <w:szCs w:val="32"/>
        </w:rPr>
        <w:t>0</w:t>
      </w:r>
      <w:r>
        <w:rPr>
          <w:rFonts w:ascii="??_GB2312" w:hAnsi="宋体" w:eastAsia="Times New Roman" w:cs="Courier New"/>
          <w:sz w:val="32"/>
          <w:szCs w:val="32"/>
        </w:rPr>
        <w:t>万元，占0 %</w:t>
      </w:r>
      <w:r>
        <w:rPr>
          <w:rFonts w:hint="eastAsia" w:ascii="??_GB2312" w:hAnsi="宋体" w:cs="Courier New"/>
          <w:sz w:val="32"/>
          <w:szCs w:val="32"/>
        </w:rPr>
        <w:t>；</w:t>
      </w:r>
      <w:r>
        <w:rPr>
          <w:rFonts w:ascii="??_GB2312" w:hAnsi="宋体" w:eastAsia="Times New Roman" w:cs="Courier New"/>
          <w:sz w:val="32"/>
          <w:szCs w:val="32"/>
        </w:rPr>
        <w:t>公务接待费支出</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eastAsiaTheme="minorEastAsia"/>
          <w:sz w:val="32"/>
          <w:szCs w:val="32"/>
        </w:rPr>
        <w:t>5.2</w:t>
      </w:r>
      <w:r>
        <w:rPr>
          <w:rFonts w:ascii="??_GB2312" w:hAnsi="宋体" w:eastAsia="Times New Roman" w:cs="Courier New"/>
          <w:sz w:val="32"/>
          <w:szCs w:val="32"/>
        </w:rPr>
        <w:t>万元</w:t>
      </w:r>
      <w:r>
        <w:rPr>
          <w:rFonts w:hint="eastAsia" w:ascii="??_GB2312" w:hAnsi="宋体" w:cs="Courier New"/>
          <w:sz w:val="32"/>
          <w:szCs w:val="32"/>
        </w:rPr>
        <w:t>，占100%。</w:t>
      </w:r>
      <w:r>
        <w:rPr>
          <w:rFonts w:ascii="??_GB2312" w:hAnsi="宋体" w:eastAsia="Times New Roman" w:cs="Courier New"/>
          <w:sz w:val="32"/>
          <w:szCs w:val="32"/>
        </w:rPr>
        <w:t>具体情况如下：</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因公出国（境）费</w:t>
      </w:r>
      <w:r>
        <w:rPr>
          <w:rFonts w:ascii="??_GB2312" w:hAnsi="宋体" w:eastAsia="Times New Roman" w:cs="Courier New"/>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出国谈判、工作磋商</w:t>
      </w:r>
      <w:r>
        <w:rPr>
          <w:rFonts w:ascii="??_GB2312" w:hAnsi="宋体" w:eastAsia="Times New Roman"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 xml:space="preserve">境外业务培训 </w:t>
      </w:r>
      <w:r>
        <w:rPr>
          <w:rFonts w:ascii="??_GB2312" w:hAnsi="宋体" w:eastAsia="Times New Roman" w:cs="Courier New"/>
          <w:sz w:val="32"/>
          <w:szCs w:val="32"/>
        </w:rPr>
        <w:t>支出支出0万元，没有用于为提高财政管理水平而举办的公共财政支出结构比较研究、社会保障政策等。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_GB2312" w:hAnsi="宋体" w:eastAsiaTheme="minorEastAsia"/>
          <w:b/>
          <w:bCs/>
          <w:sz w:val="32"/>
          <w:szCs w:val="32"/>
        </w:rPr>
        <w:t>执法</w:t>
      </w:r>
      <w:r>
        <w:rPr>
          <w:rFonts w:ascii="??_GB2312" w:hAnsi="宋体" w:eastAsia="Times New Roman"/>
          <w:b/>
          <w:bCs/>
          <w:sz w:val="32"/>
          <w:szCs w:val="32"/>
        </w:rPr>
        <w:t>用车购置及运行费</w:t>
      </w:r>
      <w:r>
        <w:rPr>
          <w:rFonts w:ascii="??_GB2312" w:hAnsi="宋体" w:eastAsia="Times New Roman" w:cs="Courier New"/>
          <w:sz w:val="32"/>
          <w:szCs w:val="32"/>
        </w:rPr>
        <w:t>支出</w:t>
      </w:r>
      <w:r>
        <w:rPr>
          <w:rFonts w:hint="eastAsia" w:ascii="??_GB2312" w:hAnsi="宋体" w:cs="Courier New" w:eastAsiaTheme="minorEastAsia"/>
          <w:sz w:val="32"/>
          <w:szCs w:val="32"/>
        </w:rPr>
        <w:t>0</w:t>
      </w:r>
      <w:r>
        <w:rPr>
          <w:rFonts w:ascii="??_GB2312" w:hAnsi="宋体" w:eastAsia="Times New Roman" w:cs="Courier New"/>
          <w:sz w:val="32"/>
          <w:szCs w:val="32"/>
        </w:rPr>
        <w:t>万元。其中：</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_GB2312" w:hAnsi="宋体" w:cs="Courier New" w:eastAsiaTheme="minorEastAsia"/>
          <w:b/>
          <w:bCs/>
          <w:sz w:val="32"/>
          <w:szCs w:val="32"/>
        </w:rPr>
        <w:t>—</w:t>
      </w:r>
      <w:r>
        <w:rPr>
          <w:rFonts w:hint="eastAsia" w:cs="Courier New" w:asciiTheme="minorEastAsia" w:hAnsiTheme="minorEastAsia" w:eastAsiaTheme="minorEastAsia"/>
          <w:b/>
          <w:bCs/>
          <w:sz w:val="32"/>
          <w:szCs w:val="32"/>
        </w:rPr>
        <w:t>—</w:t>
      </w:r>
      <w:r>
        <w:rPr>
          <w:rFonts w:ascii="??_GB2312" w:hAnsi="宋体" w:eastAsia="Times New Roman" w:cs="Courier New"/>
          <w:b/>
          <w:bCs/>
          <w:sz w:val="32"/>
          <w:szCs w:val="32"/>
        </w:rPr>
        <w:t>车购置</w:t>
      </w:r>
      <w:r>
        <w:rPr>
          <w:rFonts w:ascii="??_GB2312" w:hAnsi="宋体" w:eastAsia="Times New Roman" w:cs="Courier New"/>
          <w:sz w:val="32"/>
          <w:szCs w:val="32"/>
        </w:rPr>
        <w:t>支出为0万元。（公务用车购置支出为0。）</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_GB2312" w:hAnsi="宋体" w:cs="Courier New" w:eastAsiaTheme="minorEastAsia"/>
          <w:b/>
          <w:bCs/>
          <w:sz w:val="32"/>
          <w:szCs w:val="32"/>
        </w:rPr>
        <w:t>—</w:t>
      </w:r>
      <w:r>
        <w:rPr>
          <w:rFonts w:hint="eastAsia" w:cs="Courier New" w:asciiTheme="minorEastAsia" w:hAnsiTheme="minorEastAsia" w:eastAsiaTheme="minorEastAsia"/>
          <w:b/>
          <w:bCs/>
          <w:sz w:val="32"/>
          <w:szCs w:val="32"/>
        </w:rPr>
        <w:t>—</w:t>
      </w:r>
      <w:r>
        <w:rPr>
          <w:rFonts w:ascii="??_GB2312" w:hAnsi="宋体" w:eastAsia="Times New Roman" w:cs="Courier New"/>
          <w:b/>
          <w:bCs/>
          <w:sz w:val="32"/>
          <w:szCs w:val="32"/>
        </w:rPr>
        <w:t>车运行</w:t>
      </w:r>
      <w:r>
        <w:rPr>
          <w:rFonts w:ascii="??_GB2312" w:hAnsi="宋体" w:eastAsia="Times New Roman" w:cs="Courier New"/>
          <w:sz w:val="32"/>
          <w:szCs w:val="32"/>
        </w:rPr>
        <w:t>支出</w:t>
      </w:r>
      <w:r>
        <w:rPr>
          <w:rFonts w:hint="eastAsia" w:ascii="??_GB2312" w:hAnsi="宋体" w:cs="Courier New" w:eastAsiaTheme="minorEastAsia"/>
          <w:sz w:val="32"/>
          <w:szCs w:val="32"/>
        </w:rPr>
        <w:t>0</w:t>
      </w:r>
      <w:r>
        <w:rPr>
          <w:rFonts w:ascii="??_GB2312" w:hAnsi="宋体" w:eastAsia="Times New Roman" w:cs="Courier New"/>
          <w:sz w:val="32"/>
          <w:szCs w:val="32"/>
        </w:rPr>
        <w:t>万元。</w:t>
      </w:r>
      <w:r>
        <w:rPr>
          <w:rFonts w:hint="eastAsia" w:ascii="??_GB2312" w:hAnsi="宋体" w:cs="Courier New"/>
          <w:sz w:val="32"/>
          <w:szCs w:val="32"/>
        </w:rPr>
        <w:t>现有公务车0辆。</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b/>
          <w:bCs/>
          <w:sz w:val="32"/>
          <w:szCs w:val="32"/>
        </w:rPr>
        <w:t>公务接待费</w:t>
      </w:r>
      <w:r>
        <w:rPr>
          <w:rFonts w:ascii="??_GB2312" w:hAnsi="宋体" w:eastAsia="Times New Roman" w:cs="Courier New"/>
          <w:sz w:val="32"/>
          <w:szCs w:val="32"/>
        </w:rPr>
        <w:t>支出</w:t>
      </w:r>
      <w:r>
        <w:rPr>
          <w:rFonts w:hint="eastAsia" w:ascii="??_GB2312" w:hAnsi="宋体" w:cs="Courier New"/>
          <w:sz w:val="32"/>
          <w:szCs w:val="32"/>
        </w:rPr>
        <w:t>5.2</w:t>
      </w:r>
      <w:r>
        <w:rPr>
          <w:rFonts w:ascii="??_GB2312" w:hAnsi="宋体" w:eastAsia="Times New Roman" w:cs="Courier New"/>
          <w:sz w:val="32"/>
          <w:szCs w:val="32"/>
        </w:rPr>
        <w:t>万元。其中：主要用于区</w:t>
      </w:r>
      <w:r>
        <w:rPr>
          <w:rFonts w:hint="eastAsia" w:ascii="??_GB2312" w:hAnsi="宋体" w:cs="Courier New" w:eastAsiaTheme="minorEastAsia"/>
          <w:sz w:val="32"/>
          <w:szCs w:val="32"/>
        </w:rPr>
        <w:t>科协</w:t>
      </w:r>
      <w:r>
        <w:rPr>
          <w:rFonts w:ascii="??_GB2312" w:hAnsi="宋体" w:eastAsia="Times New Roman" w:cs="Courier New"/>
          <w:sz w:val="32"/>
          <w:szCs w:val="32"/>
        </w:rPr>
        <w:t>日常的公务接待。</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年度政府性基金预算财政拨款支出年初预算为0万元，支出为0万元。</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八、其他重要事项的情况说明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年度机关运行经费</w:t>
      </w:r>
      <w:r>
        <w:rPr>
          <w:rFonts w:hint="eastAsia" w:ascii="??_GB2312" w:hAnsi="宋体" w:cs="Courier New"/>
          <w:sz w:val="32"/>
          <w:szCs w:val="32"/>
        </w:rPr>
        <w:t>预算</w:t>
      </w:r>
      <w:r>
        <w:rPr>
          <w:rFonts w:ascii="??_GB2312" w:hAnsi="宋体" w:eastAsia="Times New Roman" w:cs="Courier New"/>
          <w:sz w:val="32"/>
          <w:szCs w:val="32"/>
        </w:rPr>
        <w:t>支出</w:t>
      </w:r>
      <w:r>
        <w:rPr>
          <w:rFonts w:hint="eastAsia" w:ascii="??_GB2312" w:hAnsi="宋体" w:cs="Courier New" w:eastAsiaTheme="minorEastAsia"/>
          <w:sz w:val="32"/>
          <w:szCs w:val="32"/>
        </w:rPr>
        <w:t>58.3</w:t>
      </w:r>
      <w:r>
        <w:rPr>
          <w:rFonts w:ascii="??_GB2312" w:hAnsi="宋体" w:eastAsia="Times New Roman" w:cs="Courier New"/>
          <w:sz w:val="32"/>
          <w:szCs w:val="32"/>
        </w:rPr>
        <w:t>万元，比201</w:t>
      </w:r>
      <w:r>
        <w:rPr>
          <w:rFonts w:hint="eastAsia" w:ascii="??_GB2312" w:hAnsi="宋体" w:cs="Courier New"/>
          <w:sz w:val="32"/>
          <w:szCs w:val="32"/>
        </w:rPr>
        <w:t>7</w:t>
      </w:r>
      <w:r>
        <w:rPr>
          <w:rFonts w:ascii="??_GB2312" w:hAnsi="宋体" w:eastAsia="Times New Roman" w:cs="Courier New"/>
          <w:sz w:val="32"/>
          <w:szCs w:val="32"/>
        </w:rPr>
        <w:t>年</w:t>
      </w:r>
      <w:r>
        <w:rPr>
          <w:rFonts w:hint="eastAsia" w:ascii="??_GB2312" w:hAnsi="宋体" w:cs="Courier New"/>
          <w:sz w:val="32"/>
          <w:szCs w:val="32"/>
        </w:rPr>
        <w:t>增加</w:t>
      </w:r>
      <w:r>
        <w:rPr>
          <w:rFonts w:hint="eastAsia" w:ascii="??_GB2312" w:hAnsi="宋体" w:cs="Courier New" w:eastAsiaTheme="minorEastAsia"/>
          <w:sz w:val="32"/>
          <w:szCs w:val="32"/>
        </w:rPr>
        <w:t xml:space="preserve">  3.4</w:t>
      </w:r>
      <w:r>
        <w:rPr>
          <w:rFonts w:ascii="??_GB2312" w:hAnsi="宋体" w:eastAsia="Times New Roman" w:cs="Courier New"/>
          <w:sz w:val="32"/>
          <w:szCs w:val="32"/>
        </w:rPr>
        <w:t>万元，</w:t>
      </w:r>
      <w:r>
        <w:rPr>
          <w:rFonts w:hint="eastAsia" w:ascii="??_GB2312" w:hAnsi="宋体" w:cs="Courier New"/>
          <w:sz w:val="32"/>
          <w:szCs w:val="32"/>
        </w:rPr>
        <w:t>上涨</w:t>
      </w:r>
      <w:r>
        <w:rPr>
          <w:rFonts w:hint="eastAsia" w:ascii="??_GB2312" w:hAnsi="宋体" w:cs="Courier New" w:eastAsiaTheme="minorEastAsia"/>
          <w:sz w:val="32"/>
          <w:szCs w:val="32"/>
        </w:rPr>
        <w:t>6.2</w:t>
      </w:r>
      <w:r>
        <w:rPr>
          <w:rFonts w:ascii="??_GB2312" w:hAnsi="宋体" w:eastAsia="Times New Roman" w:cs="Courier New"/>
          <w:sz w:val="32"/>
          <w:szCs w:val="32"/>
        </w:rPr>
        <w:t>%。</w:t>
      </w:r>
      <w:r>
        <w:rPr>
          <w:rFonts w:hint="eastAsia" w:ascii="??_GB2312" w:hAnsi="宋体" w:cs="Courier New"/>
          <w:sz w:val="32"/>
          <w:szCs w:val="32"/>
        </w:rPr>
        <w:t>因全区总人口59.6万人人均标准提高，去年人均1.2元，今年人均1.5元。</w:t>
      </w:r>
    </w:p>
    <w:p>
      <w:pPr>
        <w:numPr>
          <w:ilvl w:val="0"/>
          <w:numId w:val="5"/>
        </w:numPr>
        <w:kinsoku w:val="0"/>
        <w:overflowPunct w:val="0"/>
        <w:autoSpaceDE w:val="0"/>
        <w:autoSpaceDN w:val="0"/>
        <w:adjustRightInd w:val="0"/>
        <w:snapToGrid w:val="0"/>
        <w:spacing w:line="360" w:lineRule="auto"/>
        <w:ind w:firstLine="640" w:firstLineChars="20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年度政府采购支出</w:t>
      </w:r>
      <w:r>
        <w:rPr>
          <w:rFonts w:hint="eastAsia" w:ascii="??_GB2312" w:hAnsi="宋体" w:cs="Courier New"/>
          <w:sz w:val="32"/>
          <w:szCs w:val="32"/>
        </w:rPr>
        <w:t>预算</w:t>
      </w:r>
      <w:r>
        <w:rPr>
          <w:rFonts w:ascii="??_GB2312" w:hAnsi="宋体" w:eastAsia="Times New Roman" w:cs="Courier New"/>
          <w:sz w:val="32"/>
          <w:szCs w:val="32"/>
        </w:rPr>
        <w:t>总额</w:t>
      </w:r>
      <w:r>
        <w:rPr>
          <w:rFonts w:hint="eastAsia" w:ascii="??_GB2312" w:hAnsi="宋体" w:cs="Courier New"/>
          <w:sz w:val="32"/>
          <w:szCs w:val="32"/>
        </w:rPr>
        <w:t>1.4</w:t>
      </w:r>
      <w:r>
        <w:rPr>
          <w:rFonts w:ascii="??_GB2312" w:hAnsi="宋体" w:eastAsia="Times New Roman" w:cs="Courier New"/>
          <w:sz w:val="32"/>
          <w:szCs w:val="32"/>
        </w:rPr>
        <w:t>万元，其中：政府采购货物支出</w:t>
      </w:r>
      <w:r>
        <w:rPr>
          <w:rFonts w:hint="eastAsia" w:ascii="??_GB2312" w:hAnsi="宋体" w:cs="Courier New"/>
          <w:sz w:val="32"/>
          <w:szCs w:val="32"/>
        </w:rPr>
        <w:t>1.4</w:t>
      </w:r>
      <w:r>
        <w:rPr>
          <w:rFonts w:ascii="??_GB2312" w:hAnsi="宋体" w:eastAsia="Times New Roman" w:cs="Courier New"/>
          <w:sz w:val="32"/>
          <w:szCs w:val="32"/>
        </w:rPr>
        <w:t>万元，</w:t>
      </w:r>
      <w:r>
        <w:rPr>
          <w:rFonts w:hint="eastAsia" w:ascii="??_GB2312" w:hAnsi="宋体" w:cs="Courier New"/>
          <w:sz w:val="32"/>
          <w:szCs w:val="32"/>
        </w:rPr>
        <w:t>用于购买电脑、办公桌椅。</w:t>
      </w:r>
    </w:p>
    <w:p>
      <w:pPr>
        <w:numPr>
          <w:ilvl w:val="0"/>
          <w:numId w:val="5"/>
        </w:numPr>
        <w:kinsoku w:val="0"/>
        <w:overflowPunct w:val="0"/>
        <w:autoSpaceDE w:val="0"/>
        <w:autoSpaceDN w:val="0"/>
        <w:adjustRightInd w:val="0"/>
        <w:snapToGrid w:val="0"/>
        <w:spacing w:line="360" w:lineRule="auto"/>
        <w:ind w:firstLine="640" w:firstLineChars="20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年，区</w:t>
      </w:r>
      <w:r>
        <w:rPr>
          <w:rFonts w:hint="eastAsia" w:ascii="??_GB2312" w:hAnsi="宋体" w:cs="Courier New" w:eastAsiaTheme="minorEastAsia"/>
          <w:sz w:val="32"/>
          <w:szCs w:val="32"/>
        </w:rPr>
        <w:t>科协</w:t>
      </w:r>
      <w:r>
        <w:rPr>
          <w:rFonts w:ascii="??_GB2312" w:hAnsi="宋体" w:eastAsia="Times New Roman" w:cs="Courier New"/>
          <w:sz w:val="32"/>
          <w:szCs w:val="32"/>
        </w:rPr>
        <w:t>共有车辆</w:t>
      </w:r>
      <w:r>
        <w:rPr>
          <w:rFonts w:hint="eastAsia" w:ascii="??_GB2312" w:hAnsi="宋体" w:cs="Courier New" w:eastAsiaTheme="minorEastAsia"/>
          <w:sz w:val="32"/>
          <w:szCs w:val="32"/>
        </w:rPr>
        <w:t>0</w:t>
      </w:r>
      <w:r>
        <w:rPr>
          <w:rFonts w:ascii="??_GB2312" w:hAnsi="宋体" w:eastAsia="Times New Roman" w:cs="Courier New"/>
          <w:sz w:val="32"/>
          <w:szCs w:val="32"/>
        </w:rPr>
        <w:t>辆，其中：一般公务用车</w:t>
      </w:r>
      <w:r>
        <w:rPr>
          <w:rFonts w:hint="eastAsia" w:cs="Courier New" w:asciiTheme="minorEastAsia" w:hAnsiTheme="minorEastAsia" w:eastAsiaTheme="minorEastAsia"/>
          <w:sz w:val="32"/>
          <w:szCs w:val="32"/>
        </w:rPr>
        <w:t>0</w:t>
      </w:r>
      <w:r>
        <w:rPr>
          <w:rFonts w:ascii="??_GB2312" w:hAnsi="宋体" w:eastAsia="Times New Roman" w:cs="Courier New"/>
          <w:sz w:val="32"/>
          <w:szCs w:val="32"/>
        </w:rPr>
        <w:t>辆、一般执法执勤用车</w:t>
      </w:r>
      <w:r>
        <w:rPr>
          <w:rFonts w:hint="eastAsia" w:cs="Courier New" w:asciiTheme="minorEastAsia" w:hAnsiTheme="minorEastAsia" w:eastAsiaTheme="minorEastAsia"/>
          <w:sz w:val="32"/>
          <w:szCs w:val="32"/>
        </w:rPr>
        <w:t>0</w:t>
      </w:r>
      <w:r>
        <w:rPr>
          <w:rFonts w:ascii="??_GB2312" w:hAnsi="宋体" w:eastAsia="Times New Roman" w:cs="Courier New"/>
          <w:sz w:val="32"/>
          <w:szCs w:val="32"/>
        </w:rPr>
        <w:t>辆、特种专业技术用车0辆，其他用车0辆。单价50万元以上通用设备0台（套），单位价值100万元以上专用设备0台（套）。</w:t>
      </w:r>
    </w:p>
    <w:p>
      <w:pPr>
        <w:adjustRightInd w:val="0"/>
        <w:snapToGrid w:val="0"/>
        <w:spacing w:line="360" w:lineRule="auto"/>
        <w:ind w:firstLine="640" w:firstLineChars="200"/>
        <w:outlineLvl w:val="1"/>
        <w:rPr>
          <w:rFonts w:hint="eastAsia" w:ascii="黑体" w:hAnsi="黑体" w:eastAsia="黑体"/>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关于预算绩效管理工作开展情况说明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hint="eastAsia" w:ascii="??_GB2312" w:hAnsi="宋体" w:cs="Courier New"/>
          <w:sz w:val="32"/>
          <w:szCs w:val="32"/>
          <w:lang w:eastAsia="zh-CN"/>
        </w:rPr>
        <w:t>区科协</w:t>
      </w:r>
      <w:r>
        <w:rPr>
          <w:rFonts w:hint="eastAsia" w:ascii="??_GB2312" w:hAnsi="宋体" w:eastAsia="Times New Roman" w:cs="Courier New"/>
          <w:sz w:val="32"/>
          <w:szCs w:val="32"/>
        </w:rPr>
        <w:t>2018年没有开展项目预算绩效评价。</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第四部分　　名词解释</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cs="Courier New"/>
          <w:b/>
          <w:bCs/>
          <w:sz w:val="32"/>
          <w:szCs w:val="32"/>
        </w:rPr>
        <w:t>财政拨款收入：</w:t>
      </w:r>
      <w:r>
        <w:rPr>
          <w:rFonts w:ascii="??_GB2312" w:hAnsi="宋体" w:eastAsia="Times New Roman" w:cs="Courier New"/>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事业收入：</w:t>
      </w:r>
      <w:r>
        <w:rPr>
          <w:rFonts w:ascii="??_GB2312" w:hAnsi="宋体" w:eastAsia="Times New Roman" w:cs="Courier New"/>
          <w:sz w:val="32"/>
          <w:szCs w:val="32"/>
        </w:rPr>
        <w:t>是指事业单位开展专业业务活动及辅助活动所取得的收入。如：ＸＸ刊物发行收入，ＸＸ协会收取的会费收入等。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经营收入：</w:t>
      </w:r>
      <w:r>
        <w:rPr>
          <w:rFonts w:ascii="??_GB2312" w:hAnsi="宋体" w:eastAsia="Times New Roman" w:cs="Courier New"/>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其他收入：</w:t>
      </w:r>
      <w:r>
        <w:rPr>
          <w:rFonts w:ascii="??_GB2312" w:hAnsi="宋体" w:eastAsia="Times New Roman" w:cs="Courier New"/>
          <w:sz w:val="32"/>
          <w:szCs w:val="32"/>
        </w:rPr>
        <w:t>指除上述“财政拨款收入”、“事业收入”、“事业单位经营收入”、“经营收入”等以外的收入。主要是按规定动用的售房收入、存款利息收入等。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用事业基金弥补收支差额：</w:t>
      </w:r>
      <w:r>
        <w:rPr>
          <w:rFonts w:ascii="??_GB2312" w:hAnsi="宋体" w:eastAsia="Times New Roman"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_GB2312" w:hAnsi="宋体" w:eastAsia="Times New Roman" w:cs="Courier New"/>
          <w:b/>
          <w:bCs/>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年初结转和结余：</w:t>
      </w:r>
      <w:r>
        <w:rPr>
          <w:rFonts w:ascii="??_GB2312" w:hAnsi="宋体" w:eastAsia="Times New Roman" w:cs="Courier New"/>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hint="eastAsia" w:ascii="??_GB2312" w:hAnsi="宋体" w:eastAsiaTheme="minorEastAsia"/>
          <w:b/>
          <w:bCs/>
          <w:sz w:val="32"/>
          <w:szCs w:val="32"/>
        </w:rPr>
        <w:t xml:space="preserve"> </w:t>
      </w:r>
      <w:r>
        <w:rPr>
          <w:rFonts w:ascii="??_GB2312" w:hAnsi="宋体" w:eastAsia="Times New Roman" w:cs="Courier New"/>
          <w:b/>
          <w:bCs/>
          <w:color w:val="FF0000"/>
          <w:sz w:val="32"/>
          <w:szCs w:val="32"/>
        </w:rPr>
        <w:t>（请根据单位实际情况，参照《201</w:t>
      </w:r>
      <w:r>
        <w:rPr>
          <w:rFonts w:hint="eastAsia" w:ascii="??_GB2312" w:hAnsi="宋体" w:cs="Courier New"/>
          <w:b/>
          <w:bCs/>
          <w:color w:val="FF0000"/>
          <w:sz w:val="32"/>
          <w:szCs w:val="32"/>
        </w:rPr>
        <w:t>7</w:t>
      </w:r>
      <w:r>
        <w:rPr>
          <w:rFonts w:ascii="??_GB2312" w:hAnsi="宋体" w:eastAsia="Times New Roman" w:cs="Courier New"/>
          <w:b/>
          <w:bCs/>
          <w:color w:val="FF0000"/>
          <w:sz w:val="32"/>
          <w:szCs w:val="32"/>
        </w:rPr>
        <w:t>年政府收支分类科目》和对口中央部门</w:t>
      </w:r>
      <w:r>
        <w:rPr>
          <w:rFonts w:hint="eastAsia" w:ascii="??_GB2312" w:hAnsi="宋体" w:cs="Courier New"/>
          <w:b/>
          <w:bCs/>
          <w:color w:val="FF0000"/>
          <w:sz w:val="32"/>
          <w:szCs w:val="32"/>
        </w:rPr>
        <w:t>预</w:t>
      </w:r>
      <w:r>
        <w:rPr>
          <w:rFonts w:ascii="??_GB2312" w:hAnsi="宋体" w:eastAsia="Times New Roman" w:cs="Courier New"/>
          <w:b/>
          <w:bCs/>
          <w:color w:val="FF0000"/>
          <w:sz w:val="32"/>
          <w:szCs w:val="32"/>
        </w:rPr>
        <w:t>算公开信息填写）</w:t>
      </w:r>
      <w:r>
        <w:rPr>
          <w:rFonts w:ascii="??_GB2312" w:hAnsi="宋体" w:eastAsia="Times New Roman" w:cs="Courier New"/>
          <w:b/>
          <w:bCs/>
          <w:sz w:val="32"/>
          <w:szCs w:val="32"/>
        </w:rPr>
        <w:t>：</w:t>
      </w:r>
      <w:r>
        <w:rPr>
          <w:rFonts w:ascii="??_GB2312" w:hAnsi="宋体" w:eastAsia="Times New Roman" w:cs="Courier New"/>
          <w:sz w:val="32"/>
          <w:szCs w:val="32"/>
        </w:rPr>
        <w:t>是指</w:t>
      </w:r>
      <w:r>
        <w:rPr>
          <w:rFonts w:hint="eastAsia" w:ascii="??_GB2312" w:hAnsi="宋体" w:cs="Courier New" w:eastAsiaTheme="minorEastAsia"/>
          <w:sz w:val="32"/>
          <w:szCs w:val="32"/>
        </w:rPr>
        <w:t>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hint="eastAsia" w:ascii="??_GB2312" w:hAnsi="宋体" w:cs="Courier New" w:eastAsiaTheme="minorEastAsia"/>
          <w:sz w:val="32"/>
          <w:szCs w:val="32"/>
        </w:rPr>
        <w:t>反应国家安全生产监督管理部门、煤矿安全监察部门的支出。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bookmarkStart w:id="0" w:name="_GoBack"/>
      <w:bookmarkEnd w:id="0"/>
      <w:r>
        <w:rPr>
          <w:rFonts w:ascii="??_GB2312" w:hAnsi="宋体" w:eastAsia="Times New Roman"/>
          <w:b/>
          <w:bCs/>
          <w:sz w:val="32"/>
          <w:szCs w:val="32"/>
        </w:rPr>
        <w:t>结余分配：</w:t>
      </w:r>
      <w:r>
        <w:rPr>
          <w:rFonts w:ascii="??_GB2312" w:hAnsi="宋体" w:eastAsia="Times New Roman" w:cs="Courier New"/>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年末结转和结余：</w:t>
      </w:r>
      <w:r>
        <w:rPr>
          <w:rFonts w:ascii="??_GB2312" w:hAnsi="宋体" w:eastAsia="Times New Roman" w:cs="Courier New"/>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基本支出：</w:t>
      </w:r>
      <w:r>
        <w:rPr>
          <w:rFonts w:ascii="??_GB2312" w:hAnsi="宋体" w:eastAsia="Times New Roman" w:cs="Courier New"/>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项目支出：</w:t>
      </w:r>
      <w:r>
        <w:rPr>
          <w:rFonts w:ascii="??_GB2312" w:hAnsi="宋体" w:eastAsia="Times New Roman" w:cs="Courier New"/>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经营支出：</w:t>
      </w:r>
      <w:r>
        <w:rPr>
          <w:rFonts w:ascii="??_GB2312" w:hAnsi="宋体" w:eastAsia="Times New Roman" w:cs="Courier New"/>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“三公”经费：</w:t>
      </w:r>
      <w:r>
        <w:rPr>
          <w:rFonts w:ascii="??_GB2312" w:hAnsi="宋体" w:eastAsia="Times New Roman" w:cs="Courier New"/>
          <w:sz w:val="32"/>
          <w:szCs w:val="32"/>
        </w:rPr>
        <w:t>纳入中央财政预决算管理的“三公”经费，是指用财政拨款安排的因公出国（境）费、公务用车购置及运行费和公务接待费。其中，因公出国（境）费反映单位公务出国（境）的国际旅费</w:t>
      </w:r>
      <w:r>
        <w:rPr>
          <w:rFonts w:hint="eastAsia" w:ascii="??_GB2312" w:hAnsi="宋体" w:cs="Courier New" w:eastAsiaTheme="minorEastAsia"/>
          <w:sz w:val="32"/>
          <w:szCs w:val="32"/>
        </w:rPr>
        <w:t xml:space="preserve"> </w:t>
      </w:r>
      <w:r>
        <w:rPr>
          <w:rFonts w:ascii="??_GB2312" w:hAnsi="宋体" w:eastAsia="Times New Roman" w:cs="Courier New"/>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机关运行经费：</w:t>
      </w:r>
      <w:r>
        <w:rPr>
          <w:rFonts w:ascii="??_GB2312" w:hAnsi="宋体" w:eastAsia="Times New Roman"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_GB2312" w:hAnsi="Times New Roman" w:eastAsia="Times New Roman"/>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- 21 -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92801"/>
    <w:rsid w:val="000B1B9B"/>
    <w:rsid w:val="000E2CB5"/>
    <w:rsid w:val="00132E43"/>
    <w:rsid w:val="0017112E"/>
    <w:rsid w:val="00172A27"/>
    <w:rsid w:val="0019104A"/>
    <w:rsid w:val="00265F76"/>
    <w:rsid w:val="002A721A"/>
    <w:rsid w:val="00351B45"/>
    <w:rsid w:val="00376170"/>
    <w:rsid w:val="00402C74"/>
    <w:rsid w:val="004C11C3"/>
    <w:rsid w:val="004D36BB"/>
    <w:rsid w:val="004F3C7C"/>
    <w:rsid w:val="0050293C"/>
    <w:rsid w:val="00503F16"/>
    <w:rsid w:val="00630D31"/>
    <w:rsid w:val="006F22F7"/>
    <w:rsid w:val="007115FD"/>
    <w:rsid w:val="00787823"/>
    <w:rsid w:val="007956F5"/>
    <w:rsid w:val="007F7F87"/>
    <w:rsid w:val="0087183D"/>
    <w:rsid w:val="00880878"/>
    <w:rsid w:val="00A141B9"/>
    <w:rsid w:val="00A77C36"/>
    <w:rsid w:val="00AB7377"/>
    <w:rsid w:val="00AF7B15"/>
    <w:rsid w:val="00B54309"/>
    <w:rsid w:val="00B84FB0"/>
    <w:rsid w:val="00BA37FF"/>
    <w:rsid w:val="00BC30E8"/>
    <w:rsid w:val="00BE4CA5"/>
    <w:rsid w:val="00BF3D6F"/>
    <w:rsid w:val="00BF74B7"/>
    <w:rsid w:val="00C57D7B"/>
    <w:rsid w:val="00C6444A"/>
    <w:rsid w:val="00CD4933"/>
    <w:rsid w:val="00D9092F"/>
    <w:rsid w:val="00DB1C77"/>
    <w:rsid w:val="00DD5457"/>
    <w:rsid w:val="00E21B07"/>
    <w:rsid w:val="00E32E02"/>
    <w:rsid w:val="00E415AC"/>
    <w:rsid w:val="00E92067"/>
    <w:rsid w:val="00ED38A5"/>
    <w:rsid w:val="00ED44BB"/>
    <w:rsid w:val="00F76675"/>
    <w:rsid w:val="00F92F65"/>
    <w:rsid w:val="01F21A60"/>
    <w:rsid w:val="026651AD"/>
    <w:rsid w:val="027033B1"/>
    <w:rsid w:val="03240ECA"/>
    <w:rsid w:val="04453648"/>
    <w:rsid w:val="047F7333"/>
    <w:rsid w:val="07F31BEE"/>
    <w:rsid w:val="084D7413"/>
    <w:rsid w:val="08A93228"/>
    <w:rsid w:val="08FB3159"/>
    <w:rsid w:val="09BB2134"/>
    <w:rsid w:val="0AF32FB7"/>
    <w:rsid w:val="0B3A720B"/>
    <w:rsid w:val="0C366EEC"/>
    <w:rsid w:val="0CB261F4"/>
    <w:rsid w:val="0FAB2FE6"/>
    <w:rsid w:val="0FEF0DE6"/>
    <w:rsid w:val="113E646F"/>
    <w:rsid w:val="117A0571"/>
    <w:rsid w:val="147E551D"/>
    <w:rsid w:val="14D2458E"/>
    <w:rsid w:val="150B6848"/>
    <w:rsid w:val="15492582"/>
    <w:rsid w:val="17167488"/>
    <w:rsid w:val="172A41DC"/>
    <w:rsid w:val="17965762"/>
    <w:rsid w:val="17BE6092"/>
    <w:rsid w:val="17F73D7A"/>
    <w:rsid w:val="1A122A0B"/>
    <w:rsid w:val="1A624019"/>
    <w:rsid w:val="1B0C5740"/>
    <w:rsid w:val="1BAB4870"/>
    <w:rsid w:val="1C1F61CB"/>
    <w:rsid w:val="1C3B117F"/>
    <w:rsid w:val="1C970E94"/>
    <w:rsid w:val="1E2566FD"/>
    <w:rsid w:val="1E7D3B34"/>
    <w:rsid w:val="1F7B4B76"/>
    <w:rsid w:val="20F5460F"/>
    <w:rsid w:val="212E5315"/>
    <w:rsid w:val="223A3274"/>
    <w:rsid w:val="25436481"/>
    <w:rsid w:val="254B33D1"/>
    <w:rsid w:val="256D2254"/>
    <w:rsid w:val="27507D70"/>
    <w:rsid w:val="276847D6"/>
    <w:rsid w:val="29621C7E"/>
    <w:rsid w:val="2983760E"/>
    <w:rsid w:val="29B13F52"/>
    <w:rsid w:val="29ED2241"/>
    <w:rsid w:val="2ACE51FA"/>
    <w:rsid w:val="2B796D58"/>
    <w:rsid w:val="2BA4769A"/>
    <w:rsid w:val="2C654BE7"/>
    <w:rsid w:val="2C8F6BCF"/>
    <w:rsid w:val="2CC075DB"/>
    <w:rsid w:val="2CD06EF4"/>
    <w:rsid w:val="2CE6652A"/>
    <w:rsid w:val="2D9D4DA5"/>
    <w:rsid w:val="2DBF18D1"/>
    <w:rsid w:val="2DF11C7D"/>
    <w:rsid w:val="2EF35B2D"/>
    <w:rsid w:val="2F47056C"/>
    <w:rsid w:val="307652F7"/>
    <w:rsid w:val="325F6EF2"/>
    <w:rsid w:val="32EF005E"/>
    <w:rsid w:val="32EF40CE"/>
    <w:rsid w:val="33A76F4E"/>
    <w:rsid w:val="34416F30"/>
    <w:rsid w:val="34535585"/>
    <w:rsid w:val="364D690A"/>
    <w:rsid w:val="36CD2200"/>
    <w:rsid w:val="36FA2471"/>
    <w:rsid w:val="372974AC"/>
    <w:rsid w:val="38262F47"/>
    <w:rsid w:val="39637962"/>
    <w:rsid w:val="39765334"/>
    <w:rsid w:val="39967F15"/>
    <w:rsid w:val="3AE7177F"/>
    <w:rsid w:val="3C5769C0"/>
    <w:rsid w:val="3EA437AD"/>
    <w:rsid w:val="3EB1064D"/>
    <w:rsid w:val="3EEE22CD"/>
    <w:rsid w:val="3F081D17"/>
    <w:rsid w:val="3FCD07F4"/>
    <w:rsid w:val="41CF71DE"/>
    <w:rsid w:val="42271DDB"/>
    <w:rsid w:val="42563EC6"/>
    <w:rsid w:val="43E82B9D"/>
    <w:rsid w:val="457B1C96"/>
    <w:rsid w:val="468900BD"/>
    <w:rsid w:val="46F559ED"/>
    <w:rsid w:val="477D716C"/>
    <w:rsid w:val="48730CA8"/>
    <w:rsid w:val="48B52937"/>
    <w:rsid w:val="48C00F7D"/>
    <w:rsid w:val="48EE3EF3"/>
    <w:rsid w:val="4A611305"/>
    <w:rsid w:val="4B2D55EB"/>
    <w:rsid w:val="4C1E2F28"/>
    <w:rsid w:val="4DE20C7C"/>
    <w:rsid w:val="4E5D52EF"/>
    <w:rsid w:val="4F8965F8"/>
    <w:rsid w:val="50C2787A"/>
    <w:rsid w:val="5115239B"/>
    <w:rsid w:val="541D6A82"/>
    <w:rsid w:val="544677EE"/>
    <w:rsid w:val="554C2D0F"/>
    <w:rsid w:val="55EA1009"/>
    <w:rsid w:val="5651051D"/>
    <w:rsid w:val="57E961A8"/>
    <w:rsid w:val="581E77CF"/>
    <w:rsid w:val="58B06254"/>
    <w:rsid w:val="5AF25131"/>
    <w:rsid w:val="5BCA31AA"/>
    <w:rsid w:val="5C0F3375"/>
    <w:rsid w:val="5DD56AC2"/>
    <w:rsid w:val="5E886EBD"/>
    <w:rsid w:val="5EB57926"/>
    <w:rsid w:val="5ECF3FA4"/>
    <w:rsid w:val="5F130DE5"/>
    <w:rsid w:val="5F964892"/>
    <w:rsid w:val="5FB578F9"/>
    <w:rsid w:val="600176AC"/>
    <w:rsid w:val="60B8378D"/>
    <w:rsid w:val="60D139C1"/>
    <w:rsid w:val="60F22670"/>
    <w:rsid w:val="611C759B"/>
    <w:rsid w:val="617A16DC"/>
    <w:rsid w:val="627A693C"/>
    <w:rsid w:val="62D27395"/>
    <w:rsid w:val="62F371E3"/>
    <w:rsid w:val="63FC5C35"/>
    <w:rsid w:val="664A46E0"/>
    <w:rsid w:val="6796775E"/>
    <w:rsid w:val="67D84ED8"/>
    <w:rsid w:val="68500770"/>
    <w:rsid w:val="686A0CE6"/>
    <w:rsid w:val="686B0051"/>
    <w:rsid w:val="687C156E"/>
    <w:rsid w:val="68E95CA0"/>
    <w:rsid w:val="68F315DE"/>
    <w:rsid w:val="69F84494"/>
    <w:rsid w:val="6ABB6698"/>
    <w:rsid w:val="6AC30185"/>
    <w:rsid w:val="6DC12C15"/>
    <w:rsid w:val="6EE913B6"/>
    <w:rsid w:val="6F041E1A"/>
    <w:rsid w:val="6F2D14A1"/>
    <w:rsid w:val="6FDF24CC"/>
    <w:rsid w:val="705F045F"/>
    <w:rsid w:val="70822034"/>
    <w:rsid w:val="71490407"/>
    <w:rsid w:val="7156288B"/>
    <w:rsid w:val="72B61072"/>
    <w:rsid w:val="73F12465"/>
    <w:rsid w:val="75531EF6"/>
    <w:rsid w:val="755A7A11"/>
    <w:rsid w:val="75D0003D"/>
    <w:rsid w:val="783E1213"/>
    <w:rsid w:val="79060C93"/>
    <w:rsid w:val="79AB23B9"/>
    <w:rsid w:val="79EB297C"/>
    <w:rsid w:val="7A070B19"/>
    <w:rsid w:val="7C2C4361"/>
    <w:rsid w:val="7F4A6AE4"/>
    <w:rsid w:val="7FE521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4AD51-7291-49E7-AE04-EB37267CDCE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1447</Words>
  <Characters>8254</Characters>
  <Lines>68</Lines>
  <Paragraphs>19</Paragraphs>
  <TotalTime>1</TotalTime>
  <ScaleCrop>false</ScaleCrop>
  <LinksUpToDate>false</LinksUpToDate>
  <CharactersWithSpaces>9682</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2019-02-12T02:48:27Z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