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浉河区总工会</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52"/>
          <w:szCs w:val="52"/>
        </w:rPr>
        <w:t>2017年度部门决算</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浉河区总工会概况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浉河区总工会2017年度部门决算情况说明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浉河区总工会概况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浉河区总工会本级内设办公室、经审办、女工部、财务部、组宣部、生活保障部、民管部;下属事业单位3个，其中公益一类事业单位1个:信阳市浉河区困难职工帮扶中心;公益二类事业单位2个：信阳市职工学校、信阳市工人文化宫。</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（二）浉河区总工会承担的主要工作任务：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1.以党的基本理论、基本路线、基本纲领为指导，按照全国总工会、省总工会、市总工会和区委确立的工会工作指导方针和任务，围绕大局，结合我区实际，指导全去工会工作。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2.贯彻执行全国总工会和省、市、区总工会代表大会的决议，依照法律和章程，组织和指导全区各级工会履行“维护、建设、参与、教育”等社会职能，开展工会各项工作，领导区总工会直属单位的工作。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代表和维护职工的合法权益。对有关职工权益的重大问题进行调研，向区委、区人民政府和上级工会反映职工群众的情况、愿望和要求，并提出意见和建议，参与涉及职工切身利益的有关措施和制度的制定，对侵犯职工合法权益的重大事件进行调查并提出处理意见，参与职工重大伤亡事故的调查处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据工会理论、政策，研究制定工会的组织制度和民主管理制度，监督检查《中国工会章程》贯彻执行情况；研究指导工会组织自身改革和建设，负责指导、帮助未建立工会组织的单位和改制企业建立工会组织，指导基层工会组织职工参与企事业和机关的民主管理、民主监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5.协助区委做好各级工会领导班子和工会干部管理工作。制定工会干部管理制度和培训规划，并组织监督落实。</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6.动员和组织全区职工积极参加改革和建设。受区人民政府委托做好区以上劳模的推荐、评选和管理工作，负责各级劳模、全国“五一”劳动奖章、奖状获得者的推荐、管理工作。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7.依照工会法规，负责收缴、管理、使用工会经费和工会资产管理工作；组织县工会经审会对本级工会、所属单位、基层工会收、管、用的审查监督工作。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8.承办完成区委、区政府交办的其他工作。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（三）单位内设机构及人员情况</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区总工会内设财务部、女工部、组宣部、经审办、民主管理部、办公室、保障部。核定编制数9名，其中行政编制8人，工勤人员1人 ，实有人数16人，行政编制13人，工勤编制3人。事业编制7人（财政拨付）。区工会部门预算实有人员23名，其中在职人员23名，退休人员10名。</w:t>
      </w:r>
    </w:p>
    <w:p>
      <w:pPr>
        <w:spacing w:line="360" w:lineRule="auto"/>
        <w:ind w:firstLine="640" w:firstLineChars="200"/>
        <w:jc w:val="left"/>
        <w:rPr>
          <w:rFonts w:ascii="仿宋_GB2312" w:hAnsi="仿宋_GB2312" w:eastAsia="仿宋_GB2312" w:cs="仿宋_GB2312"/>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纳入浉河区总工会2017年度部门决算编制范围的单位包括</w:t>
      </w:r>
      <w:bookmarkStart w:id="0" w:name="_GoBack"/>
      <w:bookmarkEnd w:id="0"/>
      <w:r>
        <w:rPr>
          <w:rFonts w:hint="eastAsia" w:eastAsia="仿宋_GB2312"/>
          <w:color w:val="000000"/>
          <w:sz w:val="32"/>
          <w:szCs w:val="32"/>
        </w:rPr>
        <w:t>本级决算和所属单位决算在内的汇总决算</w:t>
      </w:r>
      <w:r>
        <w:rPr>
          <w:rFonts w:hint="eastAsia" w:eastAsia="仿宋_GB2312"/>
          <w:color w:val="000000"/>
          <w:sz w:val="32"/>
          <w:szCs w:val="32"/>
          <w:lang w:eastAsia="zh-CN"/>
        </w:rPr>
        <w:t>。</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浉河区总工会2017年度部门决算情况说明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2017年度收入总计374.5万元，支出总计374.5万元，与2016年相比，收、支总计各增加113.46万元，增长43.5%。</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rPr>
        <w:t>374.5</w:t>
      </w:r>
      <w:r>
        <w:rPr>
          <w:rFonts w:hint="eastAsia" w:ascii="仿宋_GB2312" w:hAnsi="Times New Roman" w:eastAsia="仿宋_GB2312"/>
          <w:sz w:val="32"/>
          <w:szCs w:val="32"/>
        </w:rPr>
        <w:t>万元，其中：财政拨款收入</w:t>
      </w:r>
      <w:r>
        <w:rPr>
          <w:rFonts w:hint="eastAsia" w:ascii="仿宋_GB2312" w:hAnsi="宋体" w:eastAsia="仿宋_GB2312" w:cs="Courier New"/>
          <w:sz w:val="32"/>
          <w:szCs w:val="32"/>
        </w:rPr>
        <w:t>374.5</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本年支出合计374.5万元，其中：一般公共服务支出286万元;社会保障和就业支出37.2万元；医疗卫生与计划生育支出14.3万元；住房保障支出及其他37万元。</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2017年财政拨款收支总决算374.5万元。与2016年相比，财政拨款收、支总计各增加113.46万元，增长43.5%。</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pStyle w:val="4"/>
        <w:widowControl/>
        <w:spacing w:beforeAutospacing="0" w:afterAutospacing="0" w:line="360" w:lineRule="auto"/>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区工会2017 年一般公共预算财政拨款支出年初预算为 </w:t>
      </w:r>
      <w:r>
        <w:rPr>
          <w:rFonts w:hint="eastAsia" w:ascii="宋体" w:hAnsi="宋体" w:cs="宋体"/>
          <w:sz w:val="32"/>
          <w:szCs w:val="32"/>
        </w:rPr>
        <w:t>374.5</w:t>
      </w:r>
      <w:r>
        <w:rPr>
          <w:rFonts w:hint="eastAsia" w:ascii="仿宋_GB2312" w:hAnsi="仿宋_GB2312" w:eastAsia="仿宋_GB2312" w:cs="仿宋_GB2312"/>
          <w:sz w:val="32"/>
          <w:szCs w:val="32"/>
        </w:rPr>
        <w:t> 万元，支出决算为</w:t>
      </w:r>
      <w:r>
        <w:rPr>
          <w:rFonts w:hint="eastAsia" w:ascii="宋体" w:hAnsi="宋体" w:cs="宋体"/>
          <w:sz w:val="32"/>
          <w:szCs w:val="32"/>
        </w:rPr>
        <w:t>374.5</w:t>
      </w:r>
      <w:r>
        <w:rPr>
          <w:rFonts w:hint="eastAsia" w:ascii="仿宋_GB2312" w:hAnsi="仿宋_GB2312" w:eastAsia="仿宋_GB2312" w:cs="仿宋_GB2312"/>
          <w:sz w:val="32"/>
          <w:szCs w:val="32"/>
        </w:rPr>
        <w:t>万元，完成年初预算的100%。主要用于以下方面：人员经费支出277.5万元，商品服务支出97万元。</w:t>
      </w: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pStyle w:val="4"/>
        <w:widowControl/>
        <w:spacing w:beforeAutospacing="0" w:afterAutospacing="0" w:line="360" w:lineRule="auto"/>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2017年一般公共预算财政拨款基本支出374.5万元，其中：人员经费277.5万元，主要包括：基本工资、津贴补贴、奖金、社会保障缴费、绩效工资、生活补助、抚恤金、医疗费、住房公积金、其他对个人和家庭的补助支出；公用经费27万元，主要包括：办公费、印刷费、水费、电费、邮电费、差旅费、维修（护）费、会议费、培训费、其他交通费用、其他商品和服务支出；帮扶专项及工会经费70万元。</w:t>
      </w: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2017年无“三公”经费财政拨款支出，2017年度“三公”经费财政拨款支出决算数与2016年保持持平。</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（一）因公出国（境）费支出0万元。</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（二）公务用车购置及运行费支出0万元。公车保有量为0辆。</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（三）公务接待费支出0万元。全年公务接待0批次，共接待0人。</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(一)、绩效管理工作开展情况</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2017年度未对一般公共预算项目支出开展绩效自评。</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（二）、部门决算中项目绩效自评结果</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预算绩效自评结果为0万元。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tabs>
          <w:tab w:val="left" w:pos="1033"/>
        </w:tabs>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2017年度政府性基金预算财政拨款支出年初预算为0万元。</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tabs>
          <w:tab w:val="left" w:pos="1033"/>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（一）机关运行经费支出情况。</w:t>
      </w:r>
    </w:p>
    <w:p>
      <w:pPr>
        <w:pStyle w:val="4"/>
        <w:widowControl/>
        <w:spacing w:beforeAutospacing="0" w:afterAutospacing="0" w:line="360" w:lineRule="auto"/>
        <w:ind w:left="119" w:right="119" w:firstLine="870" w:firstLineChars="272"/>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2017年机关运行经费本支出</w:t>
      </w:r>
      <w:r>
        <w:rPr>
          <w:rFonts w:hint="eastAsia" w:ascii="宋体" w:hAnsi="宋体" w:cs="宋体"/>
          <w:sz w:val="32"/>
          <w:szCs w:val="32"/>
        </w:rPr>
        <w:t>27</w:t>
      </w:r>
      <w:r>
        <w:rPr>
          <w:rFonts w:hint="eastAsia" w:ascii="仿宋_GB2312" w:hAnsi="仿宋_GB2312" w:eastAsia="仿宋_GB2312" w:cs="仿宋_GB2312"/>
          <w:sz w:val="32"/>
          <w:szCs w:val="32"/>
        </w:rPr>
        <w:t>万元，主要包括：办公费、印刷费、水费、电费、邮电费、差旅费、维修（护）费、会议费、培训费、其他交通费用、其他商品和服务支出。</w:t>
      </w:r>
    </w:p>
    <w:p>
      <w:pPr>
        <w:tabs>
          <w:tab w:val="left" w:pos="1033"/>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pPr>
        <w:tabs>
          <w:tab w:val="left" w:pos="1033"/>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2017年度政府采购支出总额0万元。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（三）国有资产占用情况</w:t>
      </w:r>
    </w:p>
    <w:p>
      <w:pPr>
        <w:kinsoku w:val="0"/>
        <w:overflowPunct w:val="0"/>
        <w:autoSpaceDE w:val="0"/>
        <w:autoSpaceDN w:val="0"/>
        <w:adjustRightInd w:val="0"/>
        <w:snapToGrid w:val="0"/>
        <w:spacing w:line="360" w:lineRule="auto"/>
        <w:ind w:firstLine="640" w:firstLineChars="200"/>
        <w:rPr>
          <w:rFonts w:ascii="??_GB2312" w:hAnsi="宋体" w:eastAsia="仿宋_GB2312" w:cs="Courier New"/>
          <w:sz w:val="32"/>
          <w:szCs w:val="32"/>
        </w:rPr>
      </w:pPr>
      <w:r>
        <w:rPr>
          <w:rFonts w:hint="eastAsia" w:ascii="仿宋_GB2312" w:hAnsi="宋体" w:eastAsia="仿宋_GB2312" w:cs="Courier New"/>
          <w:sz w:val="32"/>
          <w:szCs w:val="32"/>
        </w:rPr>
        <w:t>2017年期末，区工会共有车辆0辆，其中：省级领导干部用车0辆、一般公务用车0辆、一般执法执勤用车0辆、特种专业技术用车0辆，其他用车0辆，其他用车主要是……；单价50万元以上通用设备0台（套），单位价值100万元以上专用设备0台（套）。</w:t>
      </w:r>
      <w:r>
        <w:rPr>
          <w:rFonts w:hint="eastAsia" w:ascii="宋体" w:hAnsi="宋体" w:eastAsia="宋体" w:cs="宋体"/>
          <w:sz w:val="32"/>
          <w:szCs w:val="32"/>
        </w:rPr>
        <w:t>办公用房1000平方米，20间，其它用房0平方米，0间</w:t>
      </w:r>
      <w:r>
        <w:rPr>
          <w:rFonts w:hint="eastAsia" w:ascii="宋体" w:hAnsi="宋体" w:eastAsia="宋体" w:cs="宋体"/>
          <w:color w:val="000000"/>
          <w:kern w:val="0"/>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033"/>
        </w:tabs>
        <w:ind w:firstLine="640" w:firstLineChars="200"/>
        <w:rPr>
          <w:rFonts w:ascii="楷体_GB2312" w:hAnsi="楷体_GB2312" w:eastAsia="楷体_GB2312" w:cs="楷体_GB2312"/>
          <w:sz w:val="32"/>
          <w:szCs w:val="32"/>
        </w:rPr>
      </w:pPr>
    </w:p>
    <w:p>
      <w:pPr>
        <w:tabs>
          <w:tab w:val="left" w:pos="1033"/>
        </w:tabs>
        <w:ind w:firstLine="640" w:firstLineChars="200"/>
        <w:rPr>
          <w:rFonts w:ascii="楷体_GB2312" w:hAnsi="楷体_GB2312" w:eastAsia="楷体_GB2312" w:cs="楷体_GB2312"/>
          <w:sz w:val="32"/>
          <w:szCs w:val="32"/>
        </w:rPr>
      </w:pPr>
    </w:p>
    <w:p>
      <w:pPr>
        <w:tabs>
          <w:tab w:val="left" w:pos="1033"/>
        </w:tabs>
        <w:rPr>
          <w:rFonts w:ascii="楷体_GB2312" w:hAnsi="楷体_GB2312" w:eastAsia="楷体_GB2312" w:cs="楷体_GB2312"/>
          <w:sz w:val="32"/>
          <w:szCs w:val="32"/>
        </w:rPr>
      </w:pPr>
    </w:p>
    <w:p>
      <w:pPr>
        <w:tabs>
          <w:tab w:val="left" w:pos="1033"/>
        </w:tabs>
        <w:rPr>
          <w:rFonts w:ascii="楷体_GB2312" w:hAnsi="楷体_GB2312" w:eastAsia="楷体_GB2312" w:cs="楷体_GB2312"/>
          <w:sz w:val="32"/>
          <w:szCs w:val="32"/>
        </w:rPr>
      </w:pPr>
    </w:p>
    <w:p>
      <w:pPr>
        <w:tabs>
          <w:tab w:val="left" w:pos="1033"/>
        </w:tabs>
        <w:rPr>
          <w:rFonts w:ascii="楷体_GB2312" w:hAnsi="楷体_GB2312" w:eastAsia="楷体_GB2312" w:cs="楷体_GB2312"/>
          <w:sz w:val="32"/>
          <w:szCs w:val="32"/>
        </w:rPr>
      </w:pPr>
    </w:p>
    <w:p>
      <w:pPr>
        <w:tabs>
          <w:tab w:val="left" w:pos="1033"/>
        </w:tabs>
        <w:ind w:firstLine="640" w:firstLineChars="200"/>
        <w:rPr>
          <w:rFonts w:ascii="楷体_GB2312" w:hAnsi="楷体_GB2312" w:eastAsia="楷体_GB2312" w:cs="楷体_GB2312"/>
          <w:sz w:val="32"/>
          <w:szCs w:val="32"/>
        </w:rPr>
      </w:pPr>
    </w:p>
    <w:p>
      <w:pPr>
        <w:tabs>
          <w:tab w:val="left" w:pos="1033"/>
        </w:tabs>
        <w:ind w:firstLine="640" w:firstLineChars="200"/>
        <w:rPr>
          <w:rFonts w:ascii="楷体_GB2312" w:hAnsi="楷体_GB2312" w:eastAsia="楷体_GB2312" w:cs="楷体_GB2312"/>
          <w:sz w:val="32"/>
          <w:szCs w:val="32"/>
        </w:rPr>
      </w:pPr>
    </w:p>
    <w:p>
      <w:pPr>
        <w:tabs>
          <w:tab w:val="left" w:pos="1033"/>
        </w:tabs>
        <w:ind w:firstLine="640" w:firstLineChars="200"/>
        <w:rPr>
          <w:rFonts w:ascii="楷体_GB2312" w:hAnsi="楷体_GB2312" w:eastAsia="楷体_GB2312" w:cs="楷体_GB2312"/>
          <w:sz w:val="32"/>
          <w:szCs w:val="32"/>
        </w:rPr>
      </w:pPr>
    </w:p>
    <w:p>
      <w:pPr>
        <w:kinsoku w:val="0"/>
        <w:overflowPunct w:val="0"/>
        <w:autoSpaceDE w:val="0"/>
        <w:autoSpaceDN w:val="0"/>
        <w:adjustRightInd w:val="0"/>
        <w:snapToGrid w:val="0"/>
        <w:spacing w:line="360" w:lineRule="auto"/>
        <w:ind w:left="420" w:leftChars="200" w:firstLine="320" w:firstLineChars="100"/>
        <w:rPr>
          <w:rFonts w:ascii="仿宋_GB2312" w:hAnsi="宋体" w:eastAsia="仿宋_GB2312" w:cs="Courier New"/>
          <w:sz w:val="32"/>
          <w:szCs w:val="32"/>
        </w:rPr>
      </w:pPr>
      <w:r>
        <w:rPr>
          <w:rFonts w:hint="eastAsia" w:ascii="仿宋_GB2312" w:hAnsi="宋体" w:eastAsia="仿宋_GB2312" w:cs="Courier New"/>
          <w:sz w:val="32"/>
          <w:szCs w:val="32"/>
        </w:rPr>
        <w:t>单位联系人:牛建安        电话：03766253883</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- 8 -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F72C"/>
    <w:multiLevelType w:val="singleLevel"/>
    <w:tmpl w:val="5971F72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F45D6"/>
    <w:rsid w:val="00476718"/>
    <w:rsid w:val="00630D31"/>
    <w:rsid w:val="006E0FC4"/>
    <w:rsid w:val="007F51D0"/>
    <w:rsid w:val="008B16EE"/>
    <w:rsid w:val="00B54309"/>
    <w:rsid w:val="00B84FB0"/>
    <w:rsid w:val="00CD40A8"/>
    <w:rsid w:val="00E15EEF"/>
    <w:rsid w:val="00EB52EB"/>
    <w:rsid w:val="01064770"/>
    <w:rsid w:val="043664CD"/>
    <w:rsid w:val="04453648"/>
    <w:rsid w:val="04985751"/>
    <w:rsid w:val="061516EF"/>
    <w:rsid w:val="09BB2134"/>
    <w:rsid w:val="0B165EF3"/>
    <w:rsid w:val="11751280"/>
    <w:rsid w:val="12CB671C"/>
    <w:rsid w:val="13DA4090"/>
    <w:rsid w:val="14661166"/>
    <w:rsid w:val="15492582"/>
    <w:rsid w:val="1BB26345"/>
    <w:rsid w:val="1D375E40"/>
    <w:rsid w:val="1E271120"/>
    <w:rsid w:val="1E7D3B34"/>
    <w:rsid w:val="1F1F0F93"/>
    <w:rsid w:val="1F342C7F"/>
    <w:rsid w:val="209C4FF0"/>
    <w:rsid w:val="22080EE6"/>
    <w:rsid w:val="22576149"/>
    <w:rsid w:val="245F7D5B"/>
    <w:rsid w:val="258F34D6"/>
    <w:rsid w:val="27A16F7C"/>
    <w:rsid w:val="2BA4769A"/>
    <w:rsid w:val="2BAE72DE"/>
    <w:rsid w:val="2CD06EF4"/>
    <w:rsid w:val="2FF950D9"/>
    <w:rsid w:val="30485E97"/>
    <w:rsid w:val="32EF40CE"/>
    <w:rsid w:val="34464ED0"/>
    <w:rsid w:val="35B66CB8"/>
    <w:rsid w:val="372974AC"/>
    <w:rsid w:val="374B0DD2"/>
    <w:rsid w:val="3CE47224"/>
    <w:rsid w:val="3F287BFC"/>
    <w:rsid w:val="41A56C57"/>
    <w:rsid w:val="42271DDB"/>
    <w:rsid w:val="42845E93"/>
    <w:rsid w:val="452C588E"/>
    <w:rsid w:val="47CA283B"/>
    <w:rsid w:val="48036E61"/>
    <w:rsid w:val="48B52937"/>
    <w:rsid w:val="48EE3EF3"/>
    <w:rsid w:val="4A95625C"/>
    <w:rsid w:val="4ABC562B"/>
    <w:rsid w:val="4BE51A21"/>
    <w:rsid w:val="4C1E2F28"/>
    <w:rsid w:val="4CD744BE"/>
    <w:rsid w:val="4CE812E8"/>
    <w:rsid w:val="4F2153AE"/>
    <w:rsid w:val="50E07A46"/>
    <w:rsid w:val="5161255A"/>
    <w:rsid w:val="51AD42DE"/>
    <w:rsid w:val="53E9756D"/>
    <w:rsid w:val="5651051D"/>
    <w:rsid w:val="57BB5F84"/>
    <w:rsid w:val="57E961A8"/>
    <w:rsid w:val="581E77CF"/>
    <w:rsid w:val="58B06254"/>
    <w:rsid w:val="598E2C68"/>
    <w:rsid w:val="59E3092F"/>
    <w:rsid w:val="59EA474B"/>
    <w:rsid w:val="5ADC2402"/>
    <w:rsid w:val="5AF25131"/>
    <w:rsid w:val="5B39011D"/>
    <w:rsid w:val="5BD40800"/>
    <w:rsid w:val="5D394358"/>
    <w:rsid w:val="5D9F4273"/>
    <w:rsid w:val="5F3A0145"/>
    <w:rsid w:val="600176AC"/>
    <w:rsid w:val="612457AD"/>
    <w:rsid w:val="627358F6"/>
    <w:rsid w:val="642A14D1"/>
    <w:rsid w:val="6431638A"/>
    <w:rsid w:val="664A46E0"/>
    <w:rsid w:val="674E08EC"/>
    <w:rsid w:val="69601E96"/>
    <w:rsid w:val="6A2415C4"/>
    <w:rsid w:val="6B1A4A24"/>
    <w:rsid w:val="6C202690"/>
    <w:rsid w:val="6C2F3976"/>
    <w:rsid w:val="6DEF1F4E"/>
    <w:rsid w:val="6EA970D1"/>
    <w:rsid w:val="704F44A3"/>
    <w:rsid w:val="737A5BE5"/>
    <w:rsid w:val="73F1196C"/>
    <w:rsid w:val="75531EF6"/>
    <w:rsid w:val="75D0003D"/>
    <w:rsid w:val="7645175D"/>
    <w:rsid w:val="779E3F57"/>
    <w:rsid w:val="794368A0"/>
    <w:rsid w:val="79960645"/>
    <w:rsid w:val="7CB67838"/>
    <w:rsid w:val="7D0D382E"/>
    <w:rsid w:val="7F39282F"/>
    <w:rsid w:val="7F826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styleId="6">
    <w:name w:val="page number"/>
    <w:basedOn w:val="5"/>
    <w:qFormat/>
    <w:uiPriority w:val="0"/>
  </w:style>
  <w:style w:type="character" w:customStyle="1" w:styleId="8">
    <w:name w:val="font31"/>
    <w:basedOn w:val="5"/>
    <w:qFormat/>
    <w:uiPriority w:val="0"/>
    <w:rPr>
      <w:rFonts w:ascii="Arial" w:hAnsi="Arial" w:cs="Arial"/>
      <w:color w:val="000000"/>
      <w:sz w:val="16"/>
      <w:szCs w:val="16"/>
      <w:u w:val="none"/>
    </w:rPr>
  </w:style>
  <w:style w:type="character" w:customStyle="1" w:styleId="9">
    <w:name w:val="font01"/>
    <w:basedOn w:val="5"/>
    <w:qFormat/>
    <w:uiPriority w:val="0"/>
    <w:rPr>
      <w:rFonts w:hint="default" w:ascii="Arial" w:hAnsi="Arial" w:cs="Arial"/>
      <w:color w:val="000000"/>
      <w:sz w:val="16"/>
      <w:szCs w:val="16"/>
      <w:u w:val="none"/>
    </w:rPr>
  </w:style>
  <w:style w:type="character" w:customStyle="1" w:styleId="10">
    <w:name w:val="font41"/>
    <w:basedOn w:val="5"/>
    <w:qFormat/>
    <w:uiPriority w:val="0"/>
    <w:rPr>
      <w:rFonts w:hint="eastAsia" w:ascii="宋体" w:hAnsi="宋体" w:eastAsia="宋体" w:cs="宋体"/>
      <w:color w:val="000000"/>
      <w:sz w:val="16"/>
      <w:szCs w:val="16"/>
      <w:u w:val="none"/>
    </w:rPr>
  </w:style>
  <w:style w:type="paragraph" w:customStyle="1" w:styleId="11">
    <w:name w:val="_Style 7"/>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570</Words>
  <Characters>3251</Characters>
  <Lines>27</Lines>
  <Paragraphs>7</Paragraphs>
  <TotalTime>0</TotalTime>
  <ScaleCrop>false</ScaleCrop>
  <LinksUpToDate>false</LinksUpToDate>
  <CharactersWithSpaces>3814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2019-02-12T07:44:39Z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