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浉河区科学技术协会</w:t>
      </w: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浉河区科学技术协会</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浉河区科学技术协会2017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浉河区科学技术协</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仿宋_GB2312" w:hAnsi="仿宋_GB2312" w:eastAsia="仿宋_GB2312" w:cs="仿宋_GB2312"/>
          <w:sz w:val="32"/>
          <w:szCs w:val="32"/>
        </w:rPr>
      </w:pPr>
      <w:r>
        <w:rPr>
          <w:rFonts w:hint="eastAsia" w:ascii="黑体" w:hAnsi="黑体" w:eastAsia="黑体" w:cs="黑体"/>
          <w:sz w:val="32"/>
          <w:szCs w:val="32"/>
          <w:lang w:eastAsia="zh-CN"/>
        </w:rPr>
        <w:t>机构设置和</w:t>
      </w:r>
      <w:r>
        <w:rPr>
          <w:rFonts w:hint="eastAsia" w:ascii="黑体" w:hAnsi="黑体" w:eastAsia="黑体" w:cs="黑体"/>
          <w:sz w:val="32"/>
          <w:szCs w:val="32"/>
        </w:rPr>
        <w:t>主要职能</w:t>
      </w:r>
    </w:p>
    <w:p>
      <w:pPr>
        <w:widowControl/>
        <w:spacing w:line="600" w:lineRule="exact"/>
        <w:ind w:firstLine="640" w:firstLineChars="200"/>
        <w:jc w:val="left"/>
        <w:rPr>
          <w:rFonts w:hint="eastAsia" w:ascii="仿宋_GB2312" w:hAnsi="宋体" w:eastAsia="仿宋_GB2312" w:cs="仿宋_GB2312"/>
          <w:color w:val="333333"/>
          <w:kern w:val="0"/>
          <w:sz w:val="32"/>
          <w:szCs w:val="32"/>
          <w:lang w:bidi="ar"/>
        </w:rPr>
      </w:pPr>
      <w:r>
        <w:rPr>
          <w:rFonts w:hint="eastAsia" w:ascii="仿宋_GB2312" w:hAnsi="宋体" w:eastAsia="仿宋_GB2312" w:cs="仿宋_GB2312"/>
          <w:color w:val="333333"/>
          <w:kern w:val="0"/>
          <w:sz w:val="32"/>
          <w:szCs w:val="32"/>
          <w:lang w:bidi="ar"/>
        </w:rPr>
        <w:t>浉河区科学技术协会是浉河区科学技术工作者的群众组织，是中共浉河区委领导下的人民团体，是党和政府联系科学技术工作者的桥梁和纽带，是推动科学技术事业发展的重要力量。</w:t>
      </w:r>
    </w:p>
    <w:p>
      <w:pPr>
        <w:widowControl/>
        <w:spacing w:line="600" w:lineRule="exact"/>
        <w:ind w:firstLine="640" w:firstLineChars="200"/>
        <w:jc w:val="left"/>
        <w:rPr>
          <w:rFonts w:hint="eastAsia" w:ascii="仿宋_GB2312" w:hAnsi="宋体" w:eastAsia="仿宋_GB2312" w:cs="仿宋_GB2312"/>
          <w:color w:val="333333"/>
          <w:kern w:val="0"/>
          <w:sz w:val="32"/>
          <w:szCs w:val="32"/>
          <w:lang w:bidi="ar"/>
        </w:rPr>
      </w:pPr>
      <w:bookmarkStart w:id="0" w:name="_GoBack"/>
      <w:r>
        <w:rPr>
          <w:rFonts w:hint="eastAsia" w:ascii="仿宋_GB2312" w:hAnsi="宋体" w:eastAsia="仿宋_GB2312" w:cs="仿宋_GB2312"/>
          <w:color w:val="333333"/>
          <w:kern w:val="0"/>
          <w:sz w:val="32"/>
          <w:szCs w:val="32"/>
          <w:lang w:bidi="ar"/>
        </w:rPr>
        <w:t>区科协</w:t>
      </w:r>
      <w:r>
        <w:rPr>
          <w:rFonts w:hint="eastAsia" w:ascii="仿宋_GB2312" w:hAnsi="宋体" w:eastAsia="仿宋_GB2312" w:cs="仿宋_GB2312"/>
          <w:color w:val="333333"/>
          <w:kern w:val="0"/>
          <w:sz w:val="32"/>
          <w:szCs w:val="32"/>
          <w:lang w:val="zh-CN" w:bidi="ar"/>
        </w:rPr>
        <w:t>内设1部1室，即科普学会部和机关办公室；下属2个自收自支事业单位，即科技进修学院和科技咨询中心。</w:t>
      </w:r>
    </w:p>
    <w:bookmarkEnd w:id="0"/>
    <w:p>
      <w:pPr>
        <w:widowControl/>
        <w:spacing w:line="600" w:lineRule="exact"/>
        <w:jc w:val="left"/>
      </w:pPr>
      <w:r>
        <w:rPr>
          <w:rFonts w:hint="eastAsia" w:ascii="仿宋_GB2312" w:hAnsi="宋体" w:eastAsia="仿宋_GB2312" w:cs="仿宋_GB2312"/>
          <w:color w:val="333333"/>
          <w:kern w:val="0"/>
          <w:sz w:val="32"/>
          <w:szCs w:val="32"/>
          <w:lang w:bidi="ar"/>
        </w:rPr>
        <w:t>　　浉河区科协的主要职责：1</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开展学术交流，活跃学术思想，组织协调浉河区科协系统综合性、多学科的学术研讨活动，促进学科发展、知识创新。2</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在区委、区政府指导下，按照国家有关科普工作的法律法规以及方针规划，协助制定落实本区科普工作规划、计划，并对各部门、各单位的科普工作进行业务指导；动员社会力量，落实全民科学素质行动纲要计划，开展全区科普活动和青少年科技教育活动；协助有关方面推广先进技术；指导科普工作队伍的建设工作；3</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全心全意为科技工作者服务，反映科技工作者的意见和要求，维护科技工作者的合法权益；4</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引导科技工作者在国家及浉河区的社会管理事务中发挥作用，组织科技工作者参与制定浉河区科学技术政策、法规，并积极参加政治协商、科学决策、民主监督工作，促进决策科学化、民主化。</w:t>
      </w:r>
      <w:r>
        <w:rPr>
          <w:rFonts w:hint="eastAsia" w:ascii="仿宋_GB2312" w:hAnsi="宋体" w:eastAsia="仿宋_GB2312" w:cs="仿宋_GB2312"/>
          <w:color w:val="333333"/>
          <w:kern w:val="0"/>
          <w:sz w:val="32"/>
          <w:szCs w:val="32"/>
          <w:lang w:val="en-US" w:eastAsia="zh-CN" w:bidi="ar"/>
        </w:rPr>
        <w:t>5.</w:t>
      </w:r>
      <w:r>
        <w:rPr>
          <w:rFonts w:hint="eastAsia" w:ascii="仿宋_GB2312" w:hAnsi="宋体" w:eastAsia="仿宋_GB2312" w:cs="仿宋_GB2312"/>
          <w:color w:val="333333"/>
          <w:kern w:val="0"/>
          <w:sz w:val="32"/>
          <w:szCs w:val="32"/>
          <w:lang w:bidi="ar"/>
        </w:rPr>
        <w:t>按照我区表彰奖励的有关规定，做好表彰、宣传优秀科普工作先进单位和先进个人的工作；开展科技工作者的继续教育和培训工作。6</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开展科学论证、咨询服务，提出政策建议，推动科学技术成果的转化，促进科技与经济的结合。7</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开展民间国际科技交流与合作。8</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负责对所主管的有关学会、科技类社会团体进行监督管理；对乡镇办、企业、高等院校等基层科协工作进行业务指导。9</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开展捍卫科学尊严的反对愚昧迷信、反对伪科学的活动。10</w:t>
      </w:r>
      <w:r>
        <w:rPr>
          <w:rFonts w:hint="eastAsia" w:ascii="仿宋_GB2312" w:hAnsi="宋体" w:eastAsia="仿宋_GB2312" w:cs="仿宋_GB2312"/>
          <w:color w:val="333333"/>
          <w:kern w:val="0"/>
          <w:sz w:val="32"/>
          <w:szCs w:val="32"/>
          <w:lang w:val="en-US" w:eastAsia="zh-CN" w:bidi="ar"/>
        </w:rPr>
        <w:t>.</w:t>
      </w:r>
      <w:r>
        <w:rPr>
          <w:rFonts w:hint="eastAsia" w:ascii="仿宋_GB2312" w:hAnsi="宋体" w:eastAsia="仿宋_GB2312" w:cs="仿宋_GB2312"/>
          <w:color w:val="333333"/>
          <w:kern w:val="0"/>
          <w:sz w:val="32"/>
          <w:szCs w:val="32"/>
          <w:lang w:bidi="ar"/>
        </w:rPr>
        <w:t>承办区委、区政府和上级科协交办的其他事项。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浉河区科学技术协会2017</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lang w:eastAsia="zh-CN"/>
        </w:rPr>
        <w:t>浉河区科学技术协会</w:t>
      </w:r>
      <w:r>
        <w:rPr>
          <w:rFonts w:hint="eastAsia" w:ascii="仿宋_GB2312" w:hAnsi="仿宋_GB2312" w:eastAsia="仿宋_GB2312" w:cs="仿宋_GB2312"/>
          <w:sz w:val="32"/>
          <w:szCs w:val="32"/>
        </w:rPr>
        <w:t>本级</w:t>
      </w:r>
    </w:p>
    <w:p>
      <w:pPr>
        <w:numPr>
          <w:ilvl w:val="0"/>
          <w:numId w:val="4"/>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浉河区科学技术协会</w:t>
      </w:r>
      <w:r>
        <w:rPr>
          <w:rFonts w:hint="eastAsia" w:ascii="仿宋" w:hAnsi="仿宋" w:eastAsia="仿宋" w:cs="仿宋"/>
          <w:sz w:val="32"/>
          <w:szCs w:val="32"/>
        </w:rPr>
        <w:t>2个所属事业单位</w:t>
      </w:r>
      <w:r>
        <w:rPr>
          <w:rFonts w:hint="eastAsia" w:ascii="仿宋" w:hAnsi="仿宋" w:eastAsia="仿宋" w:cs="仿宋"/>
          <w:sz w:val="32"/>
          <w:szCs w:val="32"/>
          <w:lang w:eastAsia="zh-CN"/>
        </w:rPr>
        <w:t>，浉河区科技咨询服务中心、浉河区科技进修学院</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lang w:eastAsia="zh-CN"/>
        </w:rPr>
        <w:t>浉河区科学技术协会</w:t>
      </w:r>
      <w:r>
        <w:rPr>
          <w:rFonts w:hint="eastAsia" w:ascii="隶书" w:hAnsi="隶书" w:eastAsia="隶书" w:cs="隶书"/>
          <w:sz w:val="48"/>
          <w:szCs w:val="48"/>
        </w:rPr>
        <w:t>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w:t>
      </w:r>
      <w:r>
        <w:rPr>
          <w:rFonts w:hint="eastAsia" w:ascii="仿宋_GB2312" w:hAnsi="宋体" w:eastAsia="仿宋_GB2312" w:cs="Courier New"/>
          <w:sz w:val="32"/>
          <w:szCs w:val="32"/>
          <w:lang w:eastAsia="zh-CN"/>
        </w:rPr>
        <w:t>入减少</w:t>
      </w:r>
      <w:r>
        <w:rPr>
          <w:rFonts w:hint="eastAsia" w:ascii="仿宋_GB2312" w:hAnsi="宋体" w:eastAsia="仿宋_GB2312" w:cs="Courier New"/>
          <w:sz w:val="32"/>
          <w:szCs w:val="32"/>
          <w:lang w:val="en-US" w:eastAsia="zh-CN"/>
        </w:rPr>
        <w:t>6.67万元，</w:t>
      </w:r>
      <w:r>
        <w:rPr>
          <w:rFonts w:hint="eastAsia" w:ascii="仿宋_GB2312" w:hAnsi="宋体" w:eastAsia="仿宋_GB2312" w:cs="Courier New"/>
          <w:sz w:val="32"/>
          <w:szCs w:val="32"/>
        </w:rPr>
        <w:t>下降</w:t>
      </w:r>
      <w:r>
        <w:rPr>
          <w:rFonts w:hint="eastAsia" w:ascii="仿宋_GB2312" w:hAnsi="宋体" w:eastAsia="仿宋_GB2312" w:cs="Courier New"/>
          <w:sz w:val="32"/>
          <w:szCs w:val="32"/>
          <w:lang w:val="en-US" w:eastAsia="zh-CN"/>
        </w:rPr>
        <w:t>6.16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w:t>
      </w:r>
      <w:r>
        <w:rPr>
          <w:rFonts w:hint="eastAsia" w:ascii="仿宋_GB2312" w:hAnsi="宋体" w:eastAsia="仿宋_GB2312" w:cs="Courier New"/>
          <w:sz w:val="32"/>
          <w:szCs w:val="32"/>
          <w:lang w:eastAsia="zh-CN"/>
        </w:rPr>
        <w:t>出</w:t>
      </w:r>
      <w:r>
        <w:rPr>
          <w:rFonts w:hint="eastAsia" w:ascii="仿宋_GB2312" w:hAnsi="宋体" w:eastAsia="仿宋_GB2312" w:cs="Courier New"/>
          <w:sz w:val="32"/>
          <w:szCs w:val="32"/>
        </w:rPr>
        <w:t>总计减少</w:t>
      </w:r>
      <w:r>
        <w:rPr>
          <w:rFonts w:hint="eastAsia" w:ascii="仿宋_GB2312" w:hAnsi="宋体" w:eastAsia="仿宋_GB2312" w:cs="Courier New"/>
          <w:sz w:val="32"/>
          <w:szCs w:val="32"/>
          <w:lang w:val="en-US" w:eastAsia="zh-CN"/>
        </w:rPr>
        <w:t>6.67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6.16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hint="eastAsia" w:ascii="仿宋_GB2312" w:hAnsi="Times New Roman" w:eastAsia="仿宋_GB2312"/>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101.56</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101.56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lang w:eastAsia="zh-CN"/>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46.76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46.04</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54.80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53.96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年相比，财政拨款收、支总计各减少</w:t>
      </w:r>
      <w:r>
        <w:rPr>
          <w:rFonts w:hint="eastAsia" w:ascii="仿宋_GB2312" w:hAnsi="宋体" w:eastAsia="仿宋_GB2312" w:cs="Courier New"/>
          <w:sz w:val="32"/>
          <w:szCs w:val="32"/>
          <w:lang w:val="en-US" w:eastAsia="zh-CN"/>
        </w:rPr>
        <w:t>6.67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6.16</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年相比，一般公共预算财政拨款支出减少</w:t>
      </w:r>
      <w:r>
        <w:rPr>
          <w:rFonts w:hint="eastAsia" w:ascii="仿宋_GB2312" w:hAnsi="宋体" w:eastAsia="仿宋_GB2312" w:cs="Courier New"/>
          <w:sz w:val="32"/>
          <w:szCs w:val="32"/>
          <w:lang w:val="en-US" w:eastAsia="zh-CN"/>
        </w:rPr>
        <w:t>6.67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6.16</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lang w:eastAsia="zh-CN"/>
        </w:rPr>
        <w:t>科协技术支出</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89.59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88.21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，其中行政运行支出</w:t>
      </w:r>
      <w:r>
        <w:rPr>
          <w:rFonts w:hint="eastAsia" w:ascii="仿宋_GB2312" w:hAnsi="宋体" w:eastAsia="仿宋_GB2312" w:cs="Courier New"/>
          <w:sz w:val="32"/>
          <w:szCs w:val="32"/>
          <w:lang w:val="en-US" w:eastAsia="zh-CN"/>
        </w:rPr>
        <w:t>34.80万元，占38.84%，科学技术普及支出54.80万元，占61.17%</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11.97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11.79</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97.6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104.06</w:t>
      </w:r>
      <w:r>
        <w:rPr>
          <w:rFonts w:hint="eastAsia" w:ascii="仿宋_GB2312" w:hAnsi="宋体" w:eastAsia="仿宋_GB2312" w:cs="Courier New"/>
          <w:sz w:val="32"/>
          <w:szCs w:val="32"/>
        </w:rPr>
        <w:t>%。决算数大于预算数的主要原因：一是</w:t>
      </w:r>
      <w:r>
        <w:rPr>
          <w:rFonts w:hint="eastAsia" w:ascii="仿宋_GB2312" w:hAnsi="宋体" w:eastAsia="仿宋_GB2312" w:cs="Courier New"/>
          <w:sz w:val="32"/>
          <w:szCs w:val="32"/>
          <w:lang w:eastAsia="zh-CN"/>
        </w:rPr>
        <w:t>社会保障类支出增加，二是科学技术管理事务支出增加</w:t>
      </w:r>
      <w:r>
        <w:rPr>
          <w:rFonts w:hint="eastAsia" w:ascii="仿宋_GB2312" w:hAnsi="宋体" w:eastAsia="仿宋_GB2312" w:cs="Courier New"/>
          <w:sz w:val="32"/>
          <w:szCs w:val="32"/>
        </w:rPr>
        <w:t>。其中：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w:t>
      </w:r>
      <w:r>
        <w:rPr>
          <w:rFonts w:hint="eastAsia" w:ascii="仿宋_GB2312" w:hAnsi="宋体" w:eastAsia="仿宋_GB2312" w:cs="Courier New"/>
          <w:b/>
          <w:bCs/>
          <w:sz w:val="32"/>
          <w:szCs w:val="32"/>
          <w:lang w:eastAsia="zh-CN"/>
        </w:rPr>
        <w:t>的</w:t>
      </w:r>
      <w:r>
        <w:rPr>
          <w:rFonts w:hint="eastAsia" w:ascii="仿宋_GB2312" w:hAnsi="宋体" w:eastAsia="仿宋_GB2312" w:cs="Courier New"/>
          <w:b/>
          <w:bCs/>
          <w:sz w:val="32"/>
          <w:szCs w:val="32"/>
        </w:rPr>
        <w:t>行政运行</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34.5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34.8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100.87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，基本持平。</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w:t>
      </w:r>
      <w:r>
        <w:rPr>
          <w:rFonts w:hint="eastAsia" w:ascii="仿宋_GB2312" w:hAnsi="宋体" w:eastAsia="仿宋_GB2312" w:cs="Courier New"/>
          <w:b/>
          <w:bCs/>
          <w:sz w:val="32"/>
          <w:szCs w:val="32"/>
          <w:lang w:eastAsia="zh-CN"/>
        </w:rPr>
        <w:t>的科学技术普及，</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52.3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54.8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104.78</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为巩固全国科普示范区建设，支出略有增加</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w:t>
      </w:r>
      <w:r>
        <w:rPr>
          <w:rFonts w:hint="eastAsia" w:ascii="仿宋_GB2312" w:hAnsi="宋体" w:eastAsia="仿宋_GB2312" w:cs="Courier New"/>
          <w:b/>
          <w:bCs/>
          <w:sz w:val="32"/>
          <w:szCs w:val="32"/>
          <w:lang w:eastAsia="zh-CN"/>
        </w:rPr>
        <w:t>的社会保障类，</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10.9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110.09</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工资调整，社会保障类支出跟着增加</w:t>
      </w:r>
      <w:r>
        <w:rPr>
          <w:rFonts w:hint="eastAsia" w:ascii="仿宋_GB2312" w:hAnsi="宋体" w:eastAsia="仿宋_GB2312" w:cs="Courier New"/>
          <w:sz w:val="32"/>
          <w:szCs w:val="32"/>
        </w:rPr>
        <w:t>。</w:t>
      </w:r>
    </w:p>
    <w:p>
      <w:pPr>
        <w:numPr>
          <w:ilvl w:val="0"/>
          <w:numId w:val="0"/>
        </w:numPr>
        <w:adjustRightInd w:val="0"/>
        <w:snapToGrid w:val="0"/>
        <w:spacing w:line="360" w:lineRule="auto"/>
        <w:ind w:leftChars="200"/>
        <w:rPr>
          <w:rFonts w:ascii="仿宋_GB2312" w:hAnsi="宋体" w:eastAsia="仿宋_GB2312" w:cs="Courier New"/>
          <w:b/>
          <w:bCs/>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101.56</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43.76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社会保障缴费和住房公积金</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57.80</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、印刷费、水电费、差旅费、公务接待费、其他交通费用及其他商品和服务支出</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5.5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96.36</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万元；公务接待费支出决算为</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万元，完</w:t>
      </w:r>
      <w:r>
        <w:rPr>
          <w:rFonts w:hint="eastAsia" w:ascii="仿宋_GB2312" w:hAnsi="仿宋_GB2312" w:eastAsia="仿宋_GB2312" w:cs="仿宋_GB2312"/>
          <w:sz w:val="32"/>
          <w:szCs w:val="32"/>
        </w:rPr>
        <w:t>成预算的</w:t>
      </w:r>
      <w:r>
        <w:rPr>
          <w:rFonts w:hint="eastAsia" w:ascii="仿宋_GB2312" w:hAnsi="仿宋_GB2312" w:eastAsia="仿宋_GB2312" w:cs="仿宋_GB2312"/>
          <w:sz w:val="32"/>
          <w:szCs w:val="32"/>
          <w:lang w:val="en-US" w:eastAsia="zh-CN"/>
        </w:rPr>
        <w:t>96.36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年度“三公”经费支出决算数小于预算数的主要原因是公务接待费支出减少的主要原因是：现在公务接待的标准是同城不吃饭，禁止</w:t>
      </w:r>
      <w:r>
        <w:rPr>
          <w:rFonts w:hint="eastAsia" w:ascii="仿宋_GB2312" w:hAnsi="仿宋_GB2312" w:eastAsia="仿宋_GB2312" w:cs="仿宋_GB2312"/>
          <w:sz w:val="32"/>
          <w:szCs w:val="32"/>
          <w:lang w:eastAsia="zh-CN"/>
        </w:rPr>
        <w:t>公务饮</w:t>
      </w:r>
      <w:r>
        <w:rPr>
          <w:rFonts w:hint="eastAsia" w:ascii="仿宋_GB2312" w:hAnsi="仿宋_GB2312" w:eastAsia="仿宋_GB2312" w:cs="仿宋_GB2312"/>
          <w:sz w:val="32"/>
          <w:szCs w:val="32"/>
        </w:rPr>
        <w:t>酒，禁止出入高档酒店进行招待，减少了公务接待费用。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%，其中：因公出国（境）费支出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公务用车购置及运行费支出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万元；公务接待费支出决算增加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9"/>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0"/>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w:t>
      </w:r>
    </w:p>
    <w:p>
      <w:pPr>
        <w:numPr>
          <w:ilvl w:val="0"/>
          <w:numId w:val="9"/>
        </w:numPr>
        <w:kinsoku w:val="0"/>
        <w:overflowPunct w:val="0"/>
        <w:autoSpaceDE w:val="0"/>
        <w:autoSpaceDN w:val="0"/>
        <w:adjustRightInd w:val="0"/>
        <w:snapToGrid w:val="0"/>
        <w:spacing w:line="360" w:lineRule="auto"/>
        <w:ind w:left="0" w:leftChars="0"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9"/>
        </w:numPr>
        <w:kinsoku w:val="0"/>
        <w:overflowPunct w:val="0"/>
        <w:autoSpaceDE w:val="0"/>
        <w:autoSpaceDN w:val="0"/>
        <w:adjustRightInd w:val="0"/>
        <w:snapToGrid w:val="0"/>
        <w:spacing w:line="360" w:lineRule="auto"/>
        <w:ind w:left="0" w:leftChars="0"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rPr>
        <w:br w:type="textWrapping"/>
      </w:r>
      <w:r>
        <w:rPr>
          <w:rFonts w:hint="eastAsia" w:ascii="仿宋_GB2312" w:hAnsi="宋体" w:eastAsia="仿宋_GB2312" w:cs="Courier New"/>
          <w:b/>
          <w:bCs/>
          <w:sz w:val="32"/>
          <w:szCs w:val="32"/>
          <w:lang w:val="en-US" w:eastAsia="zh-CN"/>
        </w:rPr>
        <w:t xml:space="preserve">    其</w:t>
      </w:r>
      <w:r>
        <w:rPr>
          <w:rFonts w:hint="eastAsia" w:ascii="仿宋_GB2312" w:hAnsi="宋体" w:eastAsia="仿宋_GB2312" w:cs="Courier New"/>
          <w:b/>
          <w:bCs/>
          <w:sz w:val="32"/>
          <w:szCs w:val="32"/>
        </w:rPr>
        <w:t>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各级科协组织来访，进行交流学习，各级协会、基地相关同志前来开展业务咨询、业务学习培训等</w:t>
      </w:r>
      <w:r>
        <w:rPr>
          <w:rFonts w:hint="eastAsia" w:ascii="仿宋_GB2312" w:hAnsi="宋体" w:eastAsia="仿宋_GB2312" w:cs="Courier New"/>
          <w:sz w:val="32"/>
          <w:szCs w:val="32"/>
        </w:rPr>
        <w:t>。</w:t>
      </w:r>
      <w:r>
        <w:rPr>
          <w:rFonts w:hint="eastAsia" w:ascii="仿宋_GB2312" w:hAnsi="仿宋_GB2312" w:eastAsia="仿宋_GB2312" w:cs="仿宋_GB2312"/>
          <w:sz w:val="32"/>
          <w:szCs w:val="32"/>
          <w:lang w:eastAsia="zh-CN"/>
        </w:rPr>
        <w:t>全年公务接待</w:t>
      </w:r>
      <w:r>
        <w:rPr>
          <w:rFonts w:hint="eastAsia" w:ascii="仿宋_GB2312" w:hAnsi="仿宋_GB2312" w:eastAsia="仿宋_GB2312" w:cs="仿宋_GB2312"/>
          <w:sz w:val="32"/>
          <w:szCs w:val="32"/>
          <w:lang w:val="en-US" w:eastAsia="zh-CN"/>
        </w:rPr>
        <w:t>126批次，共接待960人。</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为做好预算绩效管理工作，浉河区科学技术协会</w:t>
      </w:r>
      <w:r>
        <w:rPr>
          <w:rFonts w:hint="eastAsia" w:ascii="仿宋_GB2312" w:hAnsi="宋体" w:eastAsia="仿宋_GB2312" w:cs="Courier New"/>
          <w:sz w:val="32"/>
          <w:szCs w:val="32"/>
        </w:rPr>
        <w:t>对</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年度一般公共预算项目支出全面开展绩效自评。其中，一级项目</w:t>
      </w:r>
      <w:r>
        <w:rPr>
          <w:rFonts w:hint="eastAsia" w:ascii="仿宋_GB2312" w:hAnsi="宋体" w:eastAsia="仿宋_GB2312" w:cs="Courier New"/>
          <w:sz w:val="32"/>
          <w:szCs w:val="32"/>
          <w:lang w:val="en-US" w:eastAsia="zh-CN"/>
        </w:rPr>
        <w:t xml:space="preserve">0 </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960" w:firstLineChars="3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浉河区科学技术协会2017年度没有项目。</w:t>
      </w:r>
    </w:p>
    <w:p>
      <w:pPr>
        <w:kinsoku w:val="0"/>
        <w:overflowPunct w:val="0"/>
        <w:autoSpaceDE w:val="0"/>
        <w:autoSpaceDN w:val="0"/>
        <w:adjustRightInd w:val="0"/>
        <w:snapToGrid w:val="0"/>
        <w:spacing w:line="360" w:lineRule="auto"/>
        <w:ind w:firstLine="960" w:firstLineChars="300"/>
        <w:rPr>
          <w:rFonts w:hint="eastAsia" w:ascii="仿宋_GB2312" w:hAnsi="宋体" w:eastAsia="仿宋_GB2312" w:cs="Courier New"/>
          <w:sz w:val="32"/>
          <w:szCs w:val="32"/>
          <w:lang w:val="en-US" w:eastAsia="zh-CN"/>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宋体" w:eastAsia="仿宋_GB2312" w:cs="Courier New"/>
          <w:sz w:val="32"/>
          <w:szCs w:val="32"/>
          <w:lang w:eastAsia="zh-CN"/>
        </w:rPr>
        <w:t>浉河区科学技术协会没有</w:t>
      </w:r>
      <w:r>
        <w:rPr>
          <w:rFonts w:hint="eastAsia" w:ascii="仿宋_GB2312" w:hAnsi="宋体" w:eastAsia="仿宋_GB2312" w:cs="Courier New"/>
          <w:sz w:val="32"/>
          <w:szCs w:val="32"/>
        </w:rPr>
        <w:t>政府性基金</w:t>
      </w:r>
      <w:r>
        <w:rPr>
          <w:rFonts w:hint="eastAsia" w:ascii="仿宋_GB2312" w:hAnsi="宋体" w:eastAsia="仿宋_GB2312" w:cs="Courier New"/>
          <w:sz w:val="32"/>
          <w:szCs w:val="32"/>
          <w:lang w:eastAsia="zh-CN"/>
        </w:rPr>
        <w:t>支出。</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57.80</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17.75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44.32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960" w:firstLineChars="3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浉河区科学技术协会</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w:t>
      </w:r>
      <w:r>
        <w:rPr>
          <w:rFonts w:hint="eastAsia" w:ascii="仿宋_GB2312" w:hAnsi="宋体" w:eastAsia="仿宋_GB2312" w:cs="Courier New"/>
          <w:sz w:val="32"/>
          <w:szCs w:val="32"/>
          <w:lang w:eastAsia="zh-CN"/>
        </w:rPr>
        <w:t>。无重大办公设备。</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eastAsia="zh-CN"/>
        </w:rPr>
        <w:t>浉河区科学技术协会</w:t>
      </w:r>
      <w:r>
        <w:rPr>
          <w:rFonts w:hint="eastAsia" w:ascii="仿宋_GB2312" w:hAnsi="宋体" w:eastAsia="仿宋_GB2312" w:cs="Courier New"/>
          <w:sz w:val="32"/>
          <w:szCs w:val="32"/>
        </w:rPr>
        <w:t>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w:t>
      </w:r>
      <w:r>
        <w:rPr>
          <w:rFonts w:hint="eastAsia" w:ascii="仿宋_GB2312" w:hAnsi="宋体" w:eastAsia="仿宋_GB2312" w:cs="Courier New"/>
          <w:sz w:val="32"/>
          <w:szCs w:val="32"/>
          <w:lang w:eastAsia="zh-CN"/>
        </w:rPr>
        <w:t>浉河区科学技术协会</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lang w:eastAsia="zh-CN"/>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3545"/>
    <w:multiLevelType w:val="singleLevel"/>
    <w:tmpl w:val="3FDD3545"/>
    <w:lvl w:ilvl="0" w:tentative="0">
      <w:start w:val="1"/>
      <w:numFmt w:val="decimal"/>
      <w:suff w:val="space"/>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1">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005E"/>
    <w:rsid w:val="00172A27"/>
    <w:rsid w:val="004D572C"/>
    <w:rsid w:val="00630D31"/>
    <w:rsid w:val="00B54309"/>
    <w:rsid w:val="00B84FB0"/>
    <w:rsid w:val="01064770"/>
    <w:rsid w:val="01D56D1E"/>
    <w:rsid w:val="04453648"/>
    <w:rsid w:val="04985751"/>
    <w:rsid w:val="058C3996"/>
    <w:rsid w:val="061516EF"/>
    <w:rsid w:val="09BB2134"/>
    <w:rsid w:val="0C825F15"/>
    <w:rsid w:val="11751280"/>
    <w:rsid w:val="12CB671C"/>
    <w:rsid w:val="13DA4090"/>
    <w:rsid w:val="14661166"/>
    <w:rsid w:val="15226318"/>
    <w:rsid w:val="15492582"/>
    <w:rsid w:val="1B7070AA"/>
    <w:rsid w:val="1BB26345"/>
    <w:rsid w:val="1C5623C7"/>
    <w:rsid w:val="1D375E40"/>
    <w:rsid w:val="1E7D3B34"/>
    <w:rsid w:val="1F1F0F93"/>
    <w:rsid w:val="209C4FF0"/>
    <w:rsid w:val="22080EE6"/>
    <w:rsid w:val="22576149"/>
    <w:rsid w:val="258F34D6"/>
    <w:rsid w:val="27A16F7C"/>
    <w:rsid w:val="2BA4769A"/>
    <w:rsid w:val="2CD06EF4"/>
    <w:rsid w:val="2E3F6D82"/>
    <w:rsid w:val="2FF950D9"/>
    <w:rsid w:val="30485E97"/>
    <w:rsid w:val="325C0925"/>
    <w:rsid w:val="32EF40CE"/>
    <w:rsid w:val="34464ED0"/>
    <w:rsid w:val="35B66CB8"/>
    <w:rsid w:val="36FF6D10"/>
    <w:rsid w:val="372974AC"/>
    <w:rsid w:val="374B0DD2"/>
    <w:rsid w:val="3C442A2B"/>
    <w:rsid w:val="3CBB0789"/>
    <w:rsid w:val="3CE47224"/>
    <w:rsid w:val="3F287BFC"/>
    <w:rsid w:val="41A56C57"/>
    <w:rsid w:val="42271DDB"/>
    <w:rsid w:val="42845E93"/>
    <w:rsid w:val="452C588E"/>
    <w:rsid w:val="457471BA"/>
    <w:rsid w:val="46697469"/>
    <w:rsid w:val="47671770"/>
    <w:rsid w:val="47CA283B"/>
    <w:rsid w:val="48036E61"/>
    <w:rsid w:val="48B52937"/>
    <w:rsid w:val="48EE3EF3"/>
    <w:rsid w:val="49700723"/>
    <w:rsid w:val="4A95625C"/>
    <w:rsid w:val="4C1E2F28"/>
    <w:rsid w:val="4CE812E8"/>
    <w:rsid w:val="4F2153AE"/>
    <w:rsid w:val="50E07A46"/>
    <w:rsid w:val="51AD42DE"/>
    <w:rsid w:val="53E9756D"/>
    <w:rsid w:val="5651051D"/>
    <w:rsid w:val="56F73916"/>
    <w:rsid w:val="57BB5F84"/>
    <w:rsid w:val="57E961A8"/>
    <w:rsid w:val="581E77CF"/>
    <w:rsid w:val="58B06254"/>
    <w:rsid w:val="59E3092F"/>
    <w:rsid w:val="5ADC2402"/>
    <w:rsid w:val="5AF25131"/>
    <w:rsid w:val="5B39011D"/>
    <w:rsid w:val="5D394358"/>
    <w:rsid w:val="5D9F4273"/>
    <w:rsid w:val="5F3A0145"/>
    <w:rsid w:val="600176AC"/>
    <w:rsid w:val="612457AD"/>
    <w:rsid w:val="61B96552"/>
    <w:rsid w:val="627358F6"/>
    <w:rsid w:val="6431638A"/>
    <w:rsid w:val="664A46E0"/>
    <w:rsid w:val="674E08EC"/>
    <w:rsid w:val="6A2415C4"/>
    <w:rsid w:val="6B1A4A24"/>
    <w:rsid w:val="6C2F3976"/>
    <w:rsid w:val="6DEF1F4E"/>
    <w:rsid w:val="6EA970D1"/>
    <w:rsid w:val="704F44A3"/>
    <w:rsid w:val="737A5BE5"/>
    <w:rsid w:val="73F1196C"/>
    <w:rsid w:val="75531EF6"/>
    <w:rsid w:val="75D0003D"/>
    <w:rsid w:val="7645175D"/>
    <w:rsid w:val="779171B7"/>
    <w:rsid w:val="779E3F57"/>
    <w:rsid w:val="794368A0"/>
    <w:rsid w:val="79960645"/>
    <w:rsid w:val="7CB67838"/>
    <w:rsid w:val="7D0D382E"/>
    <w:rsid w:val="7D421EA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2019-02-12T07:46:47Z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