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rPr>
        <w:t>浉河区矿管办</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区矿管办概况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区矿管办</w:t>
      </w:r>
      <w:r>
        <w:rPr>
          <w:rFonts w:hint="eastAsia" w:ascii="黑体" w:hAnsi="黑体" w:eastAsia="黑体" w:cs="黑体"/>
          <w:sz w:val="32"/>
          <w:szCs w:val="32"/>
          <w:lang w:eastAsia="zh-CN"/>
        </w:rPr>
        <w:t>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隶书" w:hAnsi="隶书" w:eastAsia="隶书" w:cs="隶书"/>
          <w:sz w:val="48"/>
          <w:szCs w:val="48"/>
        </w:rPr>
      </w:pPr>
      <w:r>
        <w:rPr>
          <w:rFonts w:hint="eastAsia" w:ascii="隶书" w:hAnsi="隶书" w:eastAsia="隶书" w:cs="隶书"/>
          <w:sz w:val="48"/>
          <w:szCs w:val="48"/>
        </w:rPr>
        <w:t>第一部分　</w:t>
      </w:r>
    </w:p>
    <w:p>
      <w:pPr>
        <w:jc w:val="center"/>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区矿管办</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负责《矿产资源法》及其配套法规的组织实施和监督检查。参与起草、制定本区地矿工作管理的具体实施办法、规定；组织制定全区地矿工作改革与发展的战略、方针、政策和规章制度，并组织实施和监督。</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负责全区矿产资源的管理。组织编制矿产资源开发规划；依法合理分配矿产资源；负责采矿权登记工作；负责采矿权的招标、拍卖、挂牌、出让工作；维护矿产资源的国家所有权，依法征收矿产资源补偿费和采矿权使用费；对建设项目压覆矿床情况进行审查核准。</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负责全区矿产资源开发的监督管理。负责地质储量管理，参与审批矿山闭坑报告；对矿产资源的开发、利用和保护进行监督管理，开展采矿权人年度报告审查；协调处理矿产资源采矿权属纠纷；开展矿产运输环节（运输、销售、收购）的监督管理。</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（四）监督管理地质环境及开发利用工作。组织编制本区地质环境保护监测及地质环境防治规划；参与编制本区环境保护规划；参与本区较大建设项目，城市总体规划和区域经济开发规划的审批工作。</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（五）协助上级搞好地质勘查管理。负责编制本区内地方资金安排的地质勘查工作规划、计划；依法监督本区范围内地质勘查活动，维护合法的探矿权和地质勘查秩序。</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（六）参与水资源调查、评价和规划，协同水行政管理部门管理地下水资源。负责地下水资源勘查管理和开发利用的监督管理工作。</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（七）按照《统计法》、有关行政法规和规章的规定，负责地矿工作有关的统计，向本级统计机构和上级地矿行政主管部门报送统计报表和有关资料。</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纳入矿管办201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浉河区矿管办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0"/>
          <w:sz w:val="32"/>
          <w:szCs w:val="32"/>
          <w:lang w:val="en-US" w:eastAsia="zh-CN"/>
        </w:rPr>
        <w:t>内设两个股。</w:t>
      </w:r>
      <w:r>
        <w:rPr>
          <w:rFonts w:hint="eastAsia" w:ascii="楷体" w:hAnsi="楷体" w:eastAsia="楷体" w:cs="楷体"/>
          <w:b/>
          <w:bCs w:val="0"/>
          <w:kern w:val="0"/>
          <w:sz w:val="32"/>
          <w:szCs w:val="32"/>
          <w:lang w:val="en-US" w:eastAsia="zh-CN"/>
        </w:rPr>
        <w:t>业务股</w:t>
      </w:r>
      <w:r>
        <w:rPr>
          <w:rFonts w:hint="eastAsia" w:ascii="仿宋_GB2312" w:hAnsi="仿宋_GB2312" w:eastAsia="仿宋_GB2312" w:cs="仿宋_GB2312"/>
          <w:b w:val="0"/>
          <w:bCs/>
          <w:kern w:val="0"/>
          <w:sz w:val="32"/>
          <w:szCs w:val="32"/>
          <w:lang w:val="en-US" w:eastAsia="zh-CN"/>
        </w:rPr>
        <w:t>负责采矿权的授予、登记、变更、注销管理工作；组织编制矿产资源开发规划；依法合理分配矿产资源；组织实施矿业权的招标、拍卖工作；会同有关方面协调处理采矿权属纠纷；对采矿权人年度报告进行审查注册；参与审批矿山企业的立项报告、闭坑报告；审查建设项目的压矿情况；负责地质勘查活动和地质环境的监督管理和地质灾害防治工作；负责地下水的监督管理；负责地质储量统计管理和矿产资源开发利用情况统计工作。</w:t>
      </w:r>
      <w:r>
        <w:rPr>
          <w:rFonts w:hint="eastAsia" w:ascii="楷体" w:hAnsi="楷体" w:eastAsia="楷体" w:cs="楷体"/>
          <w:b/>
          <w:bCs w:val="0"/>
          <w:kern w:val="0"/>
          <w:sz w:val="32"/>
          <w:szCs w:val="32"/>
          <w:lang w:val="en-US" w:eastAsia="zh-CN"/>
        </w:rPr>
        <w:t>行管股</w:t>
      </w:r>
      <w:r>
        <w:rPr>
          <w:rFonts w:hint="eastAsia" w:ascii="仿宋_GB2312" w:hAnsi="仿宋_GB2312" w:eastAsia="仿宋_GB2312" w:cs="仿宋_GB2312"/>
          <w:b w:val="0"/>
          <w:bCs/>
          <w:kern w:val="0"/>
          <w:sz w:val="32"/>
          <w:szCs w:val="32"/>
          <w:lang w:val="en-US" w:eastAsia="zh-CN"/>
        </w:rPr>
        <w:t>负责矿产资源补偿费的征收管理，财务监督和统计报表工作；组织实施行业会计制度及其他财会制度；负责地矿行政事业性收费、罚款收入和其他资金的财务管理；负责机关财务管理，归口编制预、决算并负责管理机关文秘、信息、档案、保密、人事、计划生育和机关安全工作；负责上传下达、文件起草、会议的组织和决定事项的催办；负责接待群众来信、来访，受理举报案件，办理工作人员违法违纪案件的呈报手续；负责汽车管理。</w:t>
      </w:r>
    </w:p>
    <w:p>
      <w:pPr>
        <w:numPr>
          <w:ilvl w:val="0"/>
          <w:numId w:val="4"/>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下属5个事业单位</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信阳市浉河区矿产资源执法监察队，主要职责：负责受理矿产违法行为的检举、控告，依法负责监督和查办无证、越层越界违法开采行为查处各类矿产违法案件;负责调处采矿权属争议;适时对矿山企业进行财务检查，对在规定期限内未足额缴纳，以及隐匿产量，伪报价格、不缴或少缴矿产资源补偿费的采矿权人，按国家规定进行行政处罚以及向人民法院起诉，申请强制执行的工作；协助各中心矿管站做好安全生产工作。</w:t>
      </w:r>
    </w:p>
    <w:p>
      <w:pPr>
        <w:keepNext w:val="0"/>
        <w:keepLines w:val="0"/>
        <w:pageBreakBefore w:val="0"/>
        <w:widowControl/>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游河乡中心矿管站、柳林中心矿管站、董家河中心矿管站，主要职能是：宣传和贯彻执行矿产管理的法律、法规、方针、政策；按照区政府的规定负责向区矿管办提出辖区内矿产资源总体规划，确保辖区内矿产资源合理开发利用；负责区矿管办发证的前期现场踏勘工作并提出矿业权设置书面审查意见；负责辖区内矿产资源开发利用的日常动态巡查和动态监测工作；协助区矿管办做好地质灾害预防和治理工作；负责本辖区内矿山企业的矿产资源补偿费、采矿权使用费的征缴工作；安全生产属地管理，矿山安全生产站长负责制，配合乡镇搞好安全生产工作。</w:t>
      </w:r>
    </w:p>
    <w:p>
      <w:pPr>
        <w:spacing w:line="360" w:lineRule="auto"/>
        <w:jc w:val="left"/>
        <w:rPr>
          <w:rFonts w:ascii="??_GB2312" w:hAnsi="??_GB2312" w:cs="??_GB2312"/>
          <w:sz w:val="32"/>
          <w:szCs w:val="32"/>
        </w:rPr>
      </w:pPr>
    </w:p>
    <w:p>
      <w:pPr>
        <w:spacing w:line="360" w:lineRule="auto"/>
        <w:jc w:val="left"/>
        <w:rPr>
          <w:rFonts w:hint="eastAsia" w:ascii="宋体" w:hAnsi="宋体" w:cs="宋体"/>
          <w:sz w:val="32"/>
          <w:szCs w:val="32"/>
        </w:rPr>
      </w:pPr>
    </w:p>
    <w:p>
      <w:pPr>
        <w:spacing w:line="360" w:lineRule="auto"/>
        <w:jc w:val="left"/>
        <w:rPr>
          <w:rFonts w:hint="eastAsia" w:ascii="宋体" w:hAnsi="宋体" w:cs="宋体"/>
          <w:sz w:val="32"/>
          <w:szCs w:val="32"/>
        </w:rPr>
      </w:pPr>
    </w:p>
    <w:p>
      <w:pPr>
        <w:spacing w:line="360" w:lineRule="auto"/>
        <w:jc w:val="left"/>
        <w:rPr>
          <w:rFonts w:hint="eastAsia" w:ascii="宋体" w:hAnsi="宋体" w:cs="宋体"/>
          <w:sz w:val="32"/>
          <w:szCs w:val="32"/>
        </w:rPr>
      </w:pPr>
    </w:p>
    <w:p>
      <w:pPr>
        <w:spacing w:line="360" w:lineRule="auto"/>
        <w:jc w:val="left"/>
        <w:rPr>
          <w:rFonts w:hint="eastAsia" w:ascii="宋体" w:hAnsi="宋体" w:cs="宋体"/>
          <w:sz w:val="32"/>
          <w:szCs w:val="32"/>
        </w:rPr>
      </w:pPr>
    </w:p>
    <w:p>
      <w:pPr>
        <w:spacing w:line="360" w:lineRule="auto"/>
        <w:jc w:val="left"/>
        <w:rPr>
          <w:rFonts w:hint="eastAsia" w:ascii="宋体" w:hAnsi="宋体" w:cs="宋体"/>
          <w:sz w:val="32"/>
          <w:szCs w:val="32"/>
        </w:rPr>
      </w:pPr>
    </w:p>
    <w:p>
      <w:pPr>
        <w:spacing w:line="360" w:lineRule="auto"/>
        <w:jc w:val="left"/>
        <w:rPr>
          <w:rFonts w:hint="eastAsia" w:ascii="宋体" w:hAnsi="宋体" w:cs="宋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浉河区矿管办</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365.94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年初结转</w:t>
      </w:r>
      <w:r>
        <w:rPr>
          <w:rFonts w:hint="eastAsia" w:ascii="仿宋_GB2312" w:hAnsi="宋体" w:eastAsia="仿宋_GB2312" w:cs="Courier New"/>
          <w:sz w:val="32"/>
          <w:szCs w:val="32"/>
          <w:lang w:val="en-US" w:eastAsia="zh-CN"/>
        </w:rPr>
        <w:t>83.68万元，</w:t>
      </w:r>
      <w:r>
        <w:rPr>
          <w:rFonts w:hint="eastAsia" w:ascii="仿宋_GB2312" w:hAnsi="宋体" w:eastAsia="仿宋_GB2312" w:cs="Courier New"/>
          <w:sz w:val="32"/>
          <w:szCs w:val="32"/>
        </w:rPr>
        <w:t>支出总计</w:t>
      </w:r>
      <w:r>
        <w:rPr>
          <w:rFonts w:hint="eastAsia" w:ascii="仿宋_GB2312" w:hAnsi="宋体" w:eastAsia="仿宋_GB2312" w:cs="Courier New"/>
          <w:sz w:val="32"/>
          <w:szCs w:val="32"/>
          <w:lang w:val="en-US" w:eastAsia="zh-CN"/>
        </w:rPr>
        <w:t>415.53</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w:t>
      </w:r>
      <w:r>
        <w:rPr>
          <w:rFonts w:hint="eastAsia" w:ascii="仿宋_GB2312" w:hAnsi="宋体" w:eastAsia="仿宋_GB2312" w:cs="Courier New"/>
          <w:sz w:val="32"/>
          <w:szCs w:val="32"/>
          <w:lang w:val="en-US" w:eastAsia="zh-CN"/>
        </w:rPr>
        <w:t>43.54万元</w:t>
      </w:r>
      <w:r>
        <w:rPr>
          <w:rFonts w:hint="eastAsia" w:ascii="仿宋_GB2312" w:hAnsi="宋体" w:eastAsia="仿宋_GB2312" w:cs="Courier New"/>
          <w:sz w:val="32"/>
          <w:szCs w:val="32"/>
        </w:rPr>
        <w:t>、支</w:t>
      </w:r>
      <w:r>
        <w:rPr>
          <w:rFonts w:hint="eastAsia" w:ascii="仿宋_GB2312" w:hAnsi="宋体" w:eastAsia="仿宋_GB2312" w:cs="Courier New"/>
          <w:sz w:val="32"/>
          <w:szCs w:val="32"/>
          <w:lang w:val="en-US" w:eastAsia="zh-CN"/>
        </w:rPr>
        <w:t>179.63</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76</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增加原因2016年未开支的人员工资、绩效、五险一金、项目经费都在2017年支出，2017年人员经费、项目经费的增加</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lang w:val="en-US" w:eastAsia="zh-CN"/>
        </w:rPr>
        <w:t>365.94</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lang w:val="en-US" w:eastAsia="zh-CN"/>
        </w:rPr>
        <w:t>365.94</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415.53</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371.04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89</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44.49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365.94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，上年结转</w:t>
      </w:r>
      <w:r>
        <w:rPr>
          <w:rFonts w:hint="eastAsia" w:ascii="仿宋_GB2312" w:hAnsi="宋体" w:eastAsia="仿宋_GB2312" w:cs="Courier New"/>
          <w:sz w:val="32"/>
          <w:szCs w:val="32"/>
          <w:lang w:val="en-US" w:eastAsia="zh-CN"/>
        </w:rPr>
        <w:t>83.68万元，支出415.53万元，结转34.09万元</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年相比，财政拨款收、支总计各增加</w:t>
      </w:r>
      <w:r>
        <w:rPr>
          <w:rFonts w:hint="eastAsia" w:ascii="仿宋_GB2312" w:hAnsi="宋体" w:eastAsia="仿宋_GB2312" w:cs="Courier New"/>
          <w:sz w:val="32"/>
          <w:szCs w:val="32"/>
          <w:lang w:val="en-US" w:eastAsia="zh-CN"/>
        </w:rPr>
        <w:t>43.54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179.63</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13</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76%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主要原因由于人员经费增加、新增地灾项目、规划项目经费增加。</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415.53</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179.63</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76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主要原因由于人员经费增加、新增地灾项目、规划项目经费增加。</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415.53</w:t>
      </w:r>
      <w:r>
        <w:rPr>
          <w:rFonts w:hint="eastAsia" w:ascii="仿宋_GB2312" w:hAnsi="宋体" w:eastAsia="仿宋_GB2312" w:cs="Courier New"/>
          <w:sz w:val="32"/>
          <w:szCs w:val="32"/>
        </w:rPr>
        <w:t>万元，主要用于以下方面：</w:t>
      </w:r>
      <w:r>
        <w:rPr>
          <w:rFonts w:hint="eastAsia" w:ascii="仿宋_GB2312" w:hAnsi="宋体" w:eastAsia="仿宋_GB2312" w:cs="Courier New"/>
          <w:sz w:val="32"/>
          <w:szCs w:val="32"/>
          <w:lang w:eastAsia="zh-CN"/>
        </w:rPr>
        <w:t>人员经费</w:t>
      </w:r>
      <w:r>
        <w:rPr>
          <w:rFonts w:hint="eastAsia" w:ascii="仿宋_GB2312" w:hAnsi="宋体" w:eastAsia="仿宋_GB2312" w:cs="Courier New"/>
          <w:sz w:val="32"/>
          <w:szCs w:val="32"/>
          <w:lang w:val="en-US" w:eastAsia="zh-CN"/>
        </w:rPr>
        <w:t>345.21万元，占83%，公用经费25.83万元，占7%，项目支出44.49万元，占10%。</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仿宋_GB2312" w:hAnsi="宋体" w:eastAsia="仿宋_GB2312" w:cs="Courier New"/>
          <w:sz w:val="32"/>
          <w:szCs w:val="32"/>
          <w:lang w:val="en-US" w:eastAsia="zh-CN"/>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358.1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415.53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116</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人员经费增加、新增地灾项目、规划项目经费增加。</w:t>
      </w:r>
    </w:p>
    <w:p>
      <w:pPr>
        <w:numPr>
          <w:ilvl w:val="0"/>
          <w:numId w:val="0"/>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358.1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415.53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116</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人员经费增加、新增地灾项目、规划项目经费增加</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371.04</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345.21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主要包括：基本工资、津贴补贴、绩效工资</w:t>
      </w:r>
      <w:r>
        <w:rPr>
          <w:rFonts w:hint="eastAsia" w:ascii="仿宋_GB2312" w:hAnsi="宋体" w:eastAsia="仿宋_GB2312" w:cs="Courier New"/>
          <w:sz w:val="32"/>
          <w:szCs w:val="32"/>
          <w:lang w:eastAsia="zh-CN"/>
        </w:rPr>
        <w:t>、养老保险、医疗保险、住房公积金等</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25.83</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、印刷费、咨询费、水电费等</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16.9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13.1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77</w:t>
      </w:r>
      <w:r>
        <w:rPr>
          <w:rFonts w:hint="eastAsia" w:ascii="仿宋_GB2312" w:hAnsi="宋体" w:eastAsia="仿宋_GB2312" w:cs="Courier New"/>
          <w:sz w:val="32"/>
          <w:szCs w:val="32"/>
        </w:rPr>
        <w:t>%，其中：</w:t>
      </w:r>
      <w:r>
        <w:rPr>
          <w:rFonts w:hint="eastAsia" w:ascii="仿宋_GB2312" w:hAnsi="宋体" w:eastAsia="仿宋_GB2312" w:cs="Courier New"/>
          <w:b/>
          <w:bCs/>
          <w:sz w:val="32"/>
          <w:szCs w:val="32"/>
        </w:rPr>
        <w:t>因公出国（境）费支出决算为</w:t>
      </w:r>
      <w:r>
        <w:rPr>
          <w:rFonts w:hint="eastAsia" w:ascii="仿宋_GB2312" w:hAnsi="宋体" w:eastAsia="仿宋_GB2312" w:cs="Courier New"/>
          <w:b/>
          <w:bCs/>
          <w:sz w:val="32"/>
          <w:szCs w:val="32"/>
          <w:lang w:val="en-US" w:eastAsia="zh-CN"/>
        </w:rPr>
        <w:t>0</w:t>
      </w:r>
      <w:r>
        <w:rPr>
          <w:rFonts w:hint="eastAsia" w:ascii="仿宋_GB2312" w:hAnsi="宋体" w:eastAsia="仿宋_GB2312" w:cs="Courier New"/>
          <w:b/>
          <w:bCs/>
          <w:sz w:val="32"/>
          <w:szCs w:val="32"/>
        </w:rPr>
        <w:t>万元</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7.44</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70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5.66</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89</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年度“三公”经费支出决算数小于预算数的主要原因是</w:t>
      </w:r>
      <w:r>
        <w:rPr>
          <w:rFonts w:hint="eastAsia" w:ascii="仿宋_GB2312" w:hAnsi="宋体" w:eastAsia="仿宋_GB2312" w:cs="Courier New"/>
          <w:sz w:val="32"/>
          <w:szCs w:val="32"/>
          <w:lang w:eastAsia="zh-CN"/>
        </w:rPr>
        <w:t>严格落实中央“八项规定”，减少公务接待</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0.61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%，其中：公务用车购置及运行费支出决算减少</w:t>
      </w:r>
      <w:r>
        <w:rPr>
          <w:rFonts w:hint="eastAsia" w:ascii="仿宋_GB2312" w:hAnsi="宋体" w:eastAsia="仿宋_GB2312" w:cs="Courier New"/>
          <w:sz w:val="32"/>
          <w:szCs w:val="32"/>
          <w:lang w:val="en-US" w:eastAsia="zh-CN"/>
        </w:rPr>
        <w:t>0.84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0.67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%。；公务用车运行费支出减少的主要原因是</w:t>
      </w:r>
      <w:r>
        <w:rPr>
          <w:rFonts w:hint="eastAsia" w:ascii="仿宋_GB2312" w:hAnsi="宋体" w:eastAsia="仿宋_GB2312" w:cs="Courier New"/>
          <w:sz w:val="32"/>
          <w:szCs w:val="32"/>
          <w:lang w:eastAsia="zh-CN"/>
        </w:rPr>
        <w:t>严格落实公车使用规定，严禁公车私用，公车运行维护成本大幅下降</w:t>
      </w:r>
      <w:r>
        <w:rPr>
          <w:rFonts w:hint="eastAsia" w:ascii="仿宋_GB2312" w:hAnsi="宋体" w:eastAsia="仿宋_GB2312" w:cs="Courier New"/>
          <w:sz w:val="32"/>
          <w:szCs w:val="32"/>
        </w:rPr>
        <w:t>；公务接待费支出减少</w:t>
      </w:r>
      <w:bookmarkStart w:id="1" w:name="_GoBack"/>
      <w:bookmarkEnd w:id="1"/>
      <w:r>
        <w:rPr>
          <w:rFonts w:hint="eastAsia" w:ascii="仿宋_GB2312" w:hAnsi="宋体" w:eastAsia="仿宋_GB2312" w:cs="Courier New"/>
          <w:sz w:val="32"/>
          <w:szCs w:val="32"/>
        </w:rPr>
        <w:t>的主要原因是</w:t>
      </w:r>
      <w:r>
        <w:rPr>
          <w:rFonts w:hint="eastAsia" w:ascii="仿宋_GB2312" w:hAnsi="宋体" w:eastAsia="仿宋_GB2312" w:cs="Courier New"/>
          <w:sz w:val="32"/>
          <w:szCs w:val="32"/>
          <w:lang w:eastAsia="zh-CN"/>
        </w:rPr>
        <w:t>严格落实中央“八项规定”，减少公务接待</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w:t>
      </w:r>
      <w:r>
        <w:rPr>
          <w:rFonts w:hint="eastAsia" w:ascii="仿宋_GB2312" w:hAnsi="宋体" w:eastAsia="仿宋_GB2312" w:cs="Courier New"/>
          <w:b w:val="0"/>
          <w:bCs w:val="0"/>
          <w:sz w:val="32"/>
          <w:szCs w:val="32"/>
        </w:rPr>
        <w:t>因公出国（境）费支出决算为</w:t>
      </w:r>
      <w:r>
        <w:rPr>
          <w:rFonts w:hint="eastAsia" w:ascii="仿宋_GB2312" w:hAnsi="宋体" w:eastAsia="仿宋_GB2312" w:cs="Courier New"/>
          <w:b w:val="0"/>
          <w:bCs w:val="0"/>
          <w:sz w:val="32"/>
          <w:szCs w:val="32"/>
          <w:lang w:val="en-US" w:eastAsia="zh-CN"/>
        </w:rPr>
        <w:t>0</w:t>
      </w:r>
      <w:r>
        <w:rPr>
          <w:rFonts w:hint="eastAsia" w:ascii="仿宋_GB2312" w:hAnsi="宋体" w:eastAsia="仿宋_GB2312" w:cs="Courier New"/>
          <w:b w:val="0"/>
          <w:bCs w:val="0"/>
          <w:sz w:val="32"/>
          <w:szCs w:val="32"/>
        </w:rPr>
        <w:t>万元</w:t>
      </w:r>
      <w:r>
        <w:rPr>
          <w:rFonts w:hint="eastAsia" w:ascii="仿宋_GB2312" w:hAnsi="宋体" w:eastAsia="仿宋_GB2312" w:cs="Courier New"/>
          <w:b w:val="0"/>
          <w:bCs w:val="0"/>
          <w:sz w:val="32"/>
          <w:szCs w:val="32"/>
          <w:lang w:eastAsia="zh-CN"/>
        </w:rPr>
        <w:t>，</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7.44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57</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5.66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43</w:t>
      </w:r>
      <w:r>
        <w:rPr>
          <w:rFonts w:hint="eastAsia" w:ascii="仿宋_GB2312" w:hAnsi="宋体" w:eastAsia="仿宋_GB2312" w:cs="Courier New"/>
          <w:sz w:val="32"/>
          <w:szCs w:val="32"/>
        </w:rPr>
        <w:t>%</w:t>
      </w:r>
      <w:bookmarkStart w:id="0" w:name="OLE_LINK2"/>
      <w:r>
        <w:rPr>
          <w:rFonts w:hint="eastAsia" w:ascii="仿宋_GB2312" w:hAnsi="宋体" w:eastAsia="仿宋_GB2312" w:cs="Courier New"/>
          <w:sz w:val="32"/>
          <w:szCs w:val="32"/>
          <w:lang w:eastAsia="zh-CN"/>
        </w:rPr>
        <w:t>。</w:t>
      </w:r>
    </w:p>
    <w:bookmarkEnd w:id="0"/>
    <w:p>
      <w:pPr>
        <w:numPr>
          <w:ilvl w:val="0"/>
          <w:numId w:val="0"/>
        </w:numPr>
        <w:kinsoku w:val="0"/>
        <w:overflowPunct w:val="0"/>
        <w:autoSpaceDE w:val="0"/>
        <w:autoSpaceDN w:val="0"/>
        <w:adjustRightInd w:val="0"/>
        <w:snapToGrid w:val="0"/>
        <w:spacing w:line="360" w:lineRule="auto"/>
        <w:ind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7.44</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7.44</w:t>
      </w:r>
      <w:r>
        <w:rPr>
          <w:rFonts w:hint="eastAsia" w:ascii="仿宋_GB2312" w:hAnsi="宋体" w:eastAsia="仿宋_GB2312" w:cs="Courier New"/>
          <w:sz w:val="32"/>
          <w:szCs w:val="32"/>
        </w:rPr>
        <w:t>万元。主要用</w:t>
      </w:r>
      <w:r>
        <w:rPr>
          <w:rFonts w:hint="eastAsia" w:ascii="仿宋_GB2312" w:hAnsi="宋体" w:eastAsia="仿宋_GB2312" w:cs="Courier New"/>
          <w:sz w:val="32"/>
          <w:szCs w:val="32"/>
          <w:lang w:eastAsia="zh-CN"/>
        </w:rPr>
        <w:t>于车辆的日常维护和加油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矿管办</w:t>
      </w:r>
      <w:r>
        <w:rPr>
          <w:rFonts w:hint="eastAsia" w:ascii="仿宋_GB2312" w:hAnsi="宋体" w:eastAsia="仿宋_GB2312" w:cs="Courier New"/>
          <w:sz w:val="32"/>
          <w:szCs w:val="32"/>
        </w:rPr>
        <w:t>开支财政拨款的公务用车保有量为</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量。</w:t>
      </w:r>
    </w:p>
    <w:p>
      <w:pPr>
        <w:numPr>
          <w:ilvl w:val="0"/>
          <w:numId w:val="0"/>
        </w:numPr>
        <w:kinsoku w:val="0"/>
        <w:overflowPunct w:val="0"/>
        <w:autoSpaceDE w:val="0"/>
        <w:autoSpaceDN w:val="0"/>
        <w:adjustRightInd w:val="0"/>
        <w:snapToGrid w:val="0"/>
        <w:spacing w:line="360" w:lineRule="auto"/>
        <w:ind w:leftChars="200" w:firstLine="321" w:firstLineChars="1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5.66</w:t>
      </w:r>
      <w:r>
        <w:rPr>
          <w:rFonts w:hint="eastAsia" w:ascii="仿宋_GB2312" w:hAnsi="宋体" w:eastAsia="仿宋_GB2312" w:cs="Courier New"/>
          <w:sz w:val="32"/>
          <w:szCs w:val="32"/>
        </w:rPr>
        <w:t>万元。其中：</w:t>
      </w:r>
    </w:p>
    <w:p>
      <w:pPr>
        <w:numPr>
          <w:ilvl w:val="0"/>
          <w:numId w:val="0"/>
        </w:numPr>
        <w:kinsoku w:val="0"/>
        <w:overflowPunct w:val="0"/>
        <w:autoSpaceDE w:val="0"/>
        <w:autoSpaceDN w:val="0"/>
        <w:adjustRightInd w:val="0"/>
        <w:snapToGrid w:val="0"/>
        <w:spacing w:line="360" w:lineRule="auto"/>
        <w:ind w:firstLine="964" w:firstLineChars="3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国内公务接待</w:t>
      </w:r>
      <w:r>
        <w:rPr>
          <w:rFonts w:hint="eastAsia" w:ascii="仿宋_GB2312" w:hAnsi="仿宋_GB2312" w:eastAsia="仿宋_GB2312" w:cs="仿宋_GB2312"/>
          <w:sz w:val="32"/>
          <w:szCs w:val="32"/>
        </w:rPr>
        <w:t>支出为</w:t>
      </w:r>
      <w:r>
        <w:rPr>
          <w:rFonts w:hint="eastAsia" w:ascii="仿宋_GB2312" w:hAnsi="仿宋_GB2312" w:eastAsia="仿宋_GB2312" w:cs="仿宋_GB2312"/>
          <w:sz w:val="32"/>
          <w:szCs w:val="32"/>
          <w:lang w:val="en-US" w:eastAsia="zh-CN"/>
        </w:rPr>
        <w:t>5.66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单位加班工作餐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我办因工作性质特殊，需下乡巡查，因路途遥远导致我办工作人员无法正常下班，累计用餐84</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497</w:t>
      </w:r>
      <w:r>
        <w:rPr>
          <w:rFonts w:hint="eastAsia" w:ascii="仿宋_GB2312" w:hAnsi="仿宋_GB2312" w:eastAsia="仿宋_GB2312" w:cs="仿宋_GB2312"/>
          <w:sz w:val="32"/>
          <w:szCs w:val="32"/>
        </w:rPr>
        <w:t>人次。</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为做好预算绩效管理工作</w:t>
      </w:r>
      <w:r>
        <w:rPr>
          <w:rFonts w:hint="eastAsia" w:ascii="仿宋_GB2312" w:hAnsi="宋体" w:eastAsia="仿宋_GB2312" w:cs="Courier New"/>
          <w:color w:val="auto"/>
          <w:sz w:val="32"/>
          <w:szCs w:val="32"/>
          <w:lang w:eastAsia="zh-CN"/>
        </w:rPr>
        <w:t>，我单位按照要求，积极开展预算绩效管理评价工作。在评价中主要遵循适用性原则、可操作性原则、产出与效果相结合原则。重点考虑产出与效果相结合，既考虑设计效果指标，反映专项资金绩效水平，又要设计效果指标，反映项目预算执行、管理的好坏。在绩效评价指标评价中主要采用的指标包括：社会效益指标、资金使用指标和资金管理指标等，通过设定产出指标和效果指标，分别根据自评项目填写实际确定的各项具体指标。矿管办</w:t>
      </w:r>
      <w:r>
        <w:rPr>
          <w:rFonts w:hint="eastAsia" w:ascii="仿宋_GB2312" w:hAnsi="宋体" w:eastAsia="仿宋_GB2312" w:cs="Courier New"/>
          <w:sz w:val="32"/>
          <w:szCs w:val="32"/>
        </w:rPr>
        <w:t>对</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年度一般公共预算项目支出全面开展绩效自评。其中，</w:t>
      </w:r>
      <w:r>
        <w:rPr>
          <w:rFonts w:hint="eastAsia" w:ascii="仿宋_GB2312" w:hAnsi="宋体" w:eastAsia="仿宋_GB2312" w:cs="Courier New"/>
          <w:sz w:val="32"/>
          <w:szCs w:val="32"/>
          <w:lang w:eastAsia="zh-CN"/>
        </w:rPr>
        <w:t>“地质灾害防治”项目</w:t>
      </w:r>
      <w:r>
        <w:rPr>
          <w:rFonts w:hint="eastAsia" w:ascii="仿宋_GB2312" w:hAnsi="宋体" w:eastAsia="仿宋_GB2312" w:cs="Courier New"/>
          <w:sz w:val="32"/>
          <w:szCs w:val="32"/>
          <w:lang w:val="en-US" w:eastAsia="zh-CN"/>
        </w:rPr>
        <w:t>1个。</w:t>
      </w:r>
      <w:r>
        <w:rPr>
          <w:rFonts w:hint="eastAsia" w:ascii="仿宋_GB2312" w:hAnsi="宋体" w:eastAsia="仿宋_GB2312" w:cs="Courier New"/>
          <w:sz w:val="32"/>
          <w:szCs w:val="32"/>
        </w:rPr>
        <w:t>共涉及预算资金</w:t>
      </w:r>
      <w:r>
        <w:rPr>
          <w:rFonts w:hint="eastAsia" w:ascii="仿宋_GB2312" w:hAnsi="宋体" w:eastAsia="仿宋_GB2312" w:cs="Courier New"/>
          <w:sz w:val="32"/>
          <w:szCs w:val="32"/>
          <w:lang w:val="en-US" w:eastAsia="zh-CN"/>
        </w:rPr>
        <w:t>30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Courier New"/>
          <w:sz w:val="32"/>
          <w:szCs w:val="32"/>
          <w:lang w:eastAsia="zh-CN"/>
        </w:rPr>
        <w:t>矿管办在</w:t>
      </w:r>
      <w:r>
        <w:rPr>
          <w:rFonts w:hint="eastAsia" w:ascii="仿宋_GB2312" w:hAnsi="宋体" w:eastAsia="仿宋_GB2312" w:cs="Courier New"/>
          <w:sz w:val="32"/>
          <w:szCs w:val="32"/>
          <w:lang w:val="en-US" w:eastAsia="zh-CN"/>
        </w:rPr>
        <w:t>2017年度部门决算中增加“地质灾害防治”项目绩效评价结果。从评价情况来看，我单位项目立项符合相关规定，绩效目标合理，</w:t>
      </w:r>
      <w:r>
        <w:rPr>
          <w:rFonts w:hint="eastAsia" w:ascii="仿宋_GB2312" w:hAnsi="宋体" w:eastAsia="仿宋_GB2312" w:cs="Courier New"/>
          <w:color w:val="auto"/>
          <w:sz w:val="32"/>
          <w:szCs w:val="32"/>
          <w:lang w:eastAsia="zh-CN"/>
        </w:rPr>
        <w:t>绩效指标体系比较清晰、评价标准较为科学，项目绩效运行跟踪监控机制初步建立，项目管理、财务管理制度较为健全，任务质量完成较高，经济社会效益明显，群众满意度较好，按照设定的评价指标，已实现项目绩效目标，我单位绩效自评结果为</w:t>
      </w:r>
      <w:r>
        <w:rPr>
          <w:rFonts w:hint="eastAsia" w:ascii="仿宋_GB2312" w:hAnsi="宋体" w:eastAsia="仿宋_GB2312" w:cs="Courier New"/>
          <w:color w:val="auto"/>
          <w:sz w:val="32"/>
          <w:szCs w:val="32"/>
          <w:lang w:val="en-US" w:eastAsia="zh-CN"/>
        </w:rPr>
        <w:t>94分。根据2017年年初设定的绩效目标，“地质灾害防治”项目自评得分为95分，发现的主要问题：地质灾害防治体系的规范化、标准化建设水平有待提高。下一步改进措施：加强培训督查，防治应急演练，确保宣传到位。</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3" w:firstLineChars="200"/>
        <w:rPr>
          <w:rFonts w:ascii="楷体_GB2312" w:hAnsi="Times New Roman" w:eastAsia="楷体_GB2312" w:cs="黑体"/>
          <w:bCs/>
          <w:kern w:val="0"/>
          <w:sz w:val="32"/>
          <w:szCs w:val="32"/>
        </w:rPr>
      </w:pPr>
      <w:r>
        <w:rPr>
          <w:rFonts w:hint="eastAsia" w:ascii="楷体_GB2312" w:hAnsi="Times New Roman" w:eastAsia="楷体_GB2312" w:cs="仿宋_GB2312"/>
          <w:b/>
          <w:bCs w:val="0"/>
          <w:kern w:val="0"/>
          <w:sz w:val="32"/>
          <w:szCs w:val="32"/>
        </w:rPr>
        <w:t>机关运行经费支出情况</w:t>
      </w:r>
      <w:r>
        <w:rPr>
          <w:rFonts w:hint="eastAsia" w:ascii="楷体_GB2312" w:hAnsi="Times New Roman" w:eastAsia="楷体_GB2312" w:cs="仿宋_GB2312"/>
          <w:bCs/>
          <w:kern w:val="0"/>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25.83</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年增加减少</w:t>
      </w:r>
      <w:r>
        <w:rPr>
          <w:rFonts w:hint="eastAsia" w:ascii="仿宋_GB2312" w:hAnsi="宋体" w:eastAsia="仿宋_GB2312" w:cs="Courier New"/>
          <w:sz w:val="32"/>
          <w:szCs w:val="32"/>
          <w:lang w:val="en-US" w:eastAsia="zh-CN"/>
        </w:rPr>
        <w:t>8.07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23</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
          <w:bCs w:val="0"/>
          <w:kern w:val="0"/>
          <w:sz w:val="32"/>
          <w:szCs w:val="32"/>
        </w:rPr>
        <w:t>政府采购支出情况</w:t>
      </w:r>
      <w:r>
        <w:rPr>
          <w:rFonts w:hint="eastAsia" w:ascii="楷体_GB2312" w:hAnsi="Times New Roman" w:eastAsia="楷体_GB2312" w:cs="仿宋_GB2312"/>
          <w:bCs/>
          <w:kern w:val="0"/>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3.4</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3.4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numPr>
          <w:ilvl w:val="0"/>
          <w:numId w:val="9"/>
        </w:numPr>
        <w:kinsoku w:val="0"/>
        <w:overflowPunct w:val="0"/>
        <w:autoSpaceDE w:val="0"/>
        <w:autoSpaceDN w:val="0"/>
        <w:adjustRightInd w:val="0"/>
        <w:snapToGrid w:val="0"/>
        <w:spacing w:line="360" w:lineRule="auto"/>
        <w:ind w:firstLine="643" w:firstLineChars="200"/>
        <w:rPr>
          <w:rFonts w:ascii="楷体_GB2312" w:hAnsi="Times New Roman" w:eastAsia="楷体_GB2312" w:cs="仿宋_GB2312"/>
          <w:b/>
          <w:bCs w:val="0"/>
          <w:i w:val="0"/>
          <w:iCs w:val="0"/>
          <w:kern w:val="0"/>
          <w:sz w:val="32"/>
          <w:szCs w:val="32"/>
        </w:rPr>
      </w:pPr>
      <w:r>
        <w:rPr>
          <w:rFonts w:hint="eastAsia" w:ascii="楷体_GB2312" w:hAnsi="Times New Roman" w:eastAsia="楷体_GB2312" w:cs="仿宋_GB2312"/>
          <w:b/>
          <w:bCs w:val="0"/>
          <w:i w:val="0"/>
          <w:iCs w:val="0"/>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矿管办</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eastAsia="zh-CN"/>
        </w:rPr>
        <w:t>区</w:t>
      </w:r>
      <w:r>
        <w:rPr>
          <w:rFonts w:hint="eastAsia" w:ascii="仿宋_GB2312" w:hAnsi="宋体" w:eastAsia="仿宋_GB2312" w:cs="Courier New"/>
          <w:sz w:val="32"/>
          <w:szCs w:val="32"/>
        </w:rPr>
        <w:t>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隶书" w:hAnsi="隶书" w:eastAsia="隶书" w:cs="隶书"/>
          <w:sz w:val="48"/>
          <w:szCs w:val="48"/>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B54309"/>
    <w:rsid w:val="00B84FB0"/>
    <w:rsid w:val="01064770"/>
    <w:rsid w:val="04453648"/>
    <w:rsid w:val="06C21185"/>
    <w:rsid w:val="072E46ED"/>
    <w:rsid w:val="09BB2134"/>
    <w:rsid w:val="0BDF528B"/>
    <w:rsid w:val="13DA4090"/>
    <w:rsid w:val="15492582"/>
    <w:rsid w:val="1BB26345"/>
    <w:rsid w:val="1CD62422"/>
    <w:rsid w:val="1E7D3B34"/>
    <w:rsid w:val="209C4FF0"/>
    <w:rsid w:val="258F34D6"/>
    <w:rsid w:val="2BA4769A"/>
    <w:rsid w:val="2CD06EF4"/>
    <w:rsid w:val="2DAA48D8"/>
    <w:rsid w:val="300D5CAE"/>
    <w:rsid w:val="32EF40CE"/>
    <w:rsid w:val="372974AC"/>
    <w:rsid w:val="3CE47224"/>
    <w:rsid w:val="3D6D5F72"/>
    <w:rsid w:val="3D97515D"/>
    <w:rsid w:val="42271DDB"/>
    <w:rsid w:val="427D2597"/>
    <w:rsid w:val="48036E61"/>
    <w:rsid w:val="48B52937"/>
    <w:rsid w:val="48EE3EF3"/>
    <w:rsid w:val="4A0C6CB7"/>
    <w:rsid w:val="4AD11FC8"/>
    <w:rsid w:val="4C1E2F28"/>
    <w:rsid w:val="4E5F74C2"/>
    <w:rsid w:val="51AD42DE"/>
    <w:rsid w:val="53E9756D"/>
    <w:rsid w:val="555464C4"/>
    <w:rsid w:val="5651051D"/>
    <w:rsid w:val="57BB5F84"/>
    <w:rsid w:val="57E961A8"/>
    <w:rsid w:val="581E77CF"/>
    <w:rsid w:val="58B06254"/>
    <w:rsid w:val="59E3092F"/>
    <w:rsid w:val="5ACB05AC"/>
    <w:rsid w:val="5AF25131"/>
    <w:rsid w:val="5B041DAF"/>
    <w:rsid w:val="5B413230"/>
    <w:rsid w:val="5CB57A5E"/>
    <w:rsid w:val="5F3A0145"/>
    <w:rsid w:val="600176AC"/>
    <w:rsid w:val="627358F6"/>
    <w:rsid w:val="6431638A"/>
    <w:rsid w:val="664A46E0"/>
    <w:rsid w:val="674E08EC"/>
    <w:rsid w:val="6A2415C4"/>
    <w:rsid w:val="6B1515C5"/>
    <w:rsid w:val="6C2F3976"/>
    <w:rsid w:val="737A5BE5"/>
    <w:rsid w:val="73E13639"/>
    <w:rsid w:val="73F1196C"/>
    <w:rsid w:val="75531EF6"/>
    <w:rsid w:val="75D0003D"/>
    <w:rsid w:val="76EB4123"/>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1</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2019-02-12T08:52:04Z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