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司法局</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公开单位联系人：曹燕          联系方式：0376-6652256</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司法局概况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司法局2017年度部门决算情况说明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司法局概况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widowControl/>
        <w:shd w:val="clear" w:color="auto" w:fill="FFFFFF"/>
        <w:spacing w:before="100" w:beforeAutospacing="1" w:after="100" w:afterAutospacing="1"/>
        <w:ind w:firstLine="450" w:firstLineChars="150"/>
        <w:rPr>
          <w:rFonts w:hint="eastAsia" w:ascii="_5b8b_4f53" w:hAnsi="_5b8b_4f53" w:cs="宋体"/>
          <w:color w:val="000000"/>
          <w:kern w:val="0"/>
          <w:sz w:val="30"/>
          <w:szCs w:val="30"/>
        </w:rPr>
      </w:pPr>
      <w:r>
        <w:rPr>
          <w:rFonts w:hint="eastAsia" w:ascii="_5b8b_4f53" w:hAnsi="_5b8b_4f53" w:cs="宋体"/>
          <w:color w:val="000000"/>
          <w:kern w:val="0"/>
          <w:sz w:val="30"/>
          <w:szCs w:val="30"/>
        </w:rPr>
        <w:t>（一）</w:t>
      </w:r>
      <w:r>
        <w:rPr>
          <w:rFonts w:ascii="_5b8b_4f53" w:hAnsi="_5b8b_4f53" w:cs="宋体"/>
          <w:color w:val="000000"/>
          <w:kern w:val="0"/>
          <w:sz w:val="30"/>
          <w:szCs w:val="30"/>
        </w:rPr>
        <w:t>研究制定贯彻中央、省、市有关司法行政工作的方针、政策和法律、法规的意见，制定；</w:t>
      </w:r>
    </w:p>
    <w:p>
      <w:pPr>
        <w:widowControl/>
        <w:shd w:val="clear" w:color="auto" w:fill="FFFFFF"/>
        <w:spacing w:before="100" w:beforeAutospacing="1" w:after="100" w:afterAutospacing="1"/>
        <w:ind w:firstLine="450" w:firstLineChars="150"/>
        <w:rPr>
          <w:rFonts w:hint="eastAsia" w:ascii="宋体" w:hAnsi="宋体" w:cs="宋体"/>
          <w:color w:val="000000"/>
          <w:kern w:val="0"/>
          <w:sz w:val="27"/>
          <w:szCs w:val="27"/>
        </w:rPr>
      </w:pPr>
      <w:r>
        <w:rPr>
          <w:rFonts w:hint="eastAsia" w:ascii="_5b8b_4f53" w:hAnsi="_5b8b_4f53" w:cs="宋体"/>
          <w:color w:val="000000"/>
          <w:kern w:val="0"/>
          <w:sz w:val="30"/>
          <w:szCs w:val="30"/>
        </w:rPr>
        <w:t>（二）</w:t>
      </w:r>
      <w:r>
        <w:rPr>
          <w:rFonts w:ascii="_5b8b_4f53" w:hAnsi="_5b8b_4f53" w:cs="宋体"/>
          <w:color w:val="000000"/>
          <w:kern w:val="0"/>
          <w:sz w:val="30"/>
          <w:szCs w:val="30"/>
        </w:rPr>
        <w:t>全区司法行政工作的规范性文件和指导性意见，编制全区司法行政工作的中长期规划、年度计划，并组织实施；</w:t>
      </w:r>
    </w:p>
    <w:p>
      <w:pPr>
        <w:widowControl/>
        <w:shd w:val="clear" w:color="auto" w:fill="FFFFFF"/>
        <w:spacing w:before="100" w:beforeAutospacing="1" w:after="100" w:afterAutospacing="1"/>
        <w:ind w:firstLine="600" w:firstLineChars="200"/>
        <w:rPr>
          <w:rFonts w:hint="eastAsia" w:ascii="宋体" w:hAnsi="宋体" w:cs="宋体"/>
          <w:color w:val="000000"/>
          <w:kern w:val="0"/>
          <w:sz w:val="27"/>
          <w:szCs w:val="27"/>
        </w:rPr>
      </w:pPr>
      <w:r>
        <w:rPr>
          <w:rFonts w:hint="eastAsia" w:ascii="_5b8b_4f53" w:hAnsi="_5b8b_4f53" w:cs="宋体"/>
          <w:color w:val="000000"/>
          <w:kern w:val="0"/>
          <w:sz w:val="30"/>
          <w:szCs w:val="30"/>
        </w:rPr>
        <w:t>（三）</w:t>
      </w:r>
      <w:r>
        <w:rPr>
          <w:rFonts w:ascii="_5b8b_4f53" w:hAnsi="_5b8b_4f53" w:cs="宋体"/>
          <w:color w:val="000000"/>
          <w:kern w:val="0"/>
          <w:sz w:val="30"/>
          <w:szCs w:val="30"/>
        </w:rPr>
        <w:t>制定全区法制宣传教育、普及法律常识和依法治区的规划并组织实施；</w:t>
      </w:r>
    </w:p>
    <w:p>
      <w:pPr>
        <w:widowControl/>
        <w:shd w:val="clear" w:color="auto" w:fill="FFFFFF"/>
        <w:spacing w:before="100" w:beforeAutospacing="1" w:after="100" w:afterAutospacing="1"/>
        <w:ind w:firstLine="600" w:firstLineChars="200"/>
        <w:rPr>
          <w:rFonts w:hint="eastAsia" w:ascii="宋体" w:hAnsi="宋体" w:cs="宋体"/>
          <w:color w:val="000000"/>
          <w:kern w:val="0"/>
          <w:sz w:val="27"/>
          <w:szCs w:val="27"/>
        </w:rPr>
      </w:pPr>
      <w:r>
        <w:rPr>
          <w:rFonts w:hint="eastAsia" w:ascii="_5b8b_4f53" w:hAnsi="_5b8b_4f53" w:cs="宋体"/>
          <w:color w:val="000000"/>
          <w:kern w:val="0"/>
          <w:sz w:val="30"/>
          <w:szCs w:val="30"/>
        </w:rPr>
        <w:t>（四）</w:t>
      </w:r>
      <w:r>
        <w:rPr>
          <w:rFonts w:ascii="_5b8b_4f53" w:hAnsi="_5b8b_4f53" w:cs="宋体"/>
          <w:color w:val="000000"/>
          <w:kern w:val="0"/>
          <w:sz w:val="30"/>
          <w:szCs w:val="30"/>
        </w:rPr>
        <w:t>指导各乡、镇、办事处及各行业的普法和依法治理工作；</w:t>
      </w:r>
    </w:p>
    <w:p>
      <w:pPr>
        <w:pStyle w:val="9"/>
        <w:widowControl/>
        <w:shd w:val="clear" w:color="auto" w:fill="FFFFFF"/>
        <w:spacing w:before="100" w:beforeAutospacing="1" w:after="100" w:afterAutospacing="1"/>
        <w:ind w:left="150" w:firstLine="600"/>
        <w:rPr>
          <w:rFonts w:hint="eastAsia" w:ascii="宋体" w:hAnsi="宋体" w:cs="宋体"/>
          <w:color w:val="000000"/>
          <w:kern w:val="0"/>
          <w:sz w:val="27"/>
          <w:szCs w:val="27"/>
        </w:rPr>
      </w:pPr>
      <w:r>
        <w:rPr>
          <w:rFonts w:hint="eastAsia" w:ascii="_5b8b_4f53" w:hAnsi="_5b8b_4f53" w:cs="宋体"/>
          <w:color w:val="000000"/>
          <w:kern w:val="0"/>
          <w:sz w:val="30"/>
          <w:szCs w:val="30"/>
        </w:rPr>
        <w:t>（五）</w:t>
      </w:r>
      <w:r>
        <w:rPr>
          <w:rFonts w:ascii="_5b8b_4f53" w:hAnsi="_5b8b_4f53" w:cs="宋体"/>
          <w:color w:val="000000"/>
          <w:kern w:val="0"/>
          <w:sz w:val="30"/>
          <w:szCs w:val="30"/>
        </w:rPr>
        <w:t>负责管理区法制宣传教育工作；指导全区法学教育和法学理论研究工作；</w:t>
      </w:r>
    </w:p>
    <w:p>
      <w:pPr>
        <w:pStyle w:val="9"/>
        <w:widowControl/>
        <w:numPr>
          <w:ilvl w:val="0"/>
          <w:numId w:val="3"/>
        </w:numPr>
        <w:shd w:val="clear" w:color="auto" w:fill="FFFFFF"/>
        <w:spacing w:before="100" w:beforeAutospacing="1" w:after="100" w:afterAutospacing="1"/>
        <w:ind w:firstLineChars="0"/>
        <w:rPr>
          <w:rFonts w:hint="eastAsia" w:ascii="宋体" w:hAnsi="宋体" w:cs="宋体"/>
          <w:color w:val="000000"/>
          <w:kern w:val="0"/>
          <w:sz w:val="27"/>
          <w:szCs w:val="27"/>
        </w:rPr>
      </w:pPr>
      <w:r>
        <w:rPr>
          <w:rFonts w:ascii="_5b8b_4f53" w:hAnsi="_5b8b_4f53" w:cs="宋体"/>
          <w:color w:val="000000"/>
          <w:kern w:val="0"/>
          <w:sz w:val="30"/>
          <w:szCs w:val="30"/>
        </w:rPr>
        <w:t>管理和指导法律援助机构和法律援助业务工作；</w:t>
      </w:r>
    </w:p>
    <w:p>
      <w:pPr>
        <w:pStyle w:val="9"/>
        <w:widowControl/>
        <w:shd w:val="clear" w:color="auto" w:fill="FFFFFF"/>
        <w:spacing w:before="100" w:beforeAutospacing="1" w:after="100" w:afterAutospacing="1"/>
        <w:ind w:left="150" w:firstLine="600"/>
        <w:rPr>
          <w:rFonts w:hint="eastAsia" w:ascii="宋体" w:hAnsi="宋体" w:cs="宋体"/>
          <w:color w:val="000000"/>
          <w:kern w:val="0"/>
          <w:sz w:val="27"/>
          <w:szCs w:val="27"/>
        </w:rPr>
      </w:pPr>
      <w:r>
        <w:rPr>
          <w:rFonts w:hint="eastAsia" w:ascii="_5b8b_4f53" w:hAnsi="_5b8b_4f53" w:cs="宋体"/>
          <w:color w:val="000000"/>
          <w:kern w:val="0"/>
          <w:sz w:val="30"/>
          <w:szCs w:val="30"/>
        </w:rPr>
        <w:t>（七）</w:t>
      </w:r>
      <w:r>
        <w:rPr>
          <w:rFonts w:ascii="_5b8b_4f53" w:hAnsi="_5b8b_4f53" w:cs="宋体"/>
          <w:color w:val="000000"/>
          <w:kern w:val="0"/>
          <w:sz w:val="30"/>
          <w:szCs w:val="30"/>
        </w:rPr>
        <w:t>管理、指导和监督全区的律师、法律顾问工作和社会法律服务机构的工作；</w:t>
      </w:r>
    </w:p>
    <w:p>
      <w:pPr>
        <w:pStyle w:val="9"/>
        <w:widowControl/>
        <w:numPr>
          <w:ilvl w:val="0"/>
          <w:numId w:val="4"/>
        </w:numPr>
        <w:shd w:val="clear" w:color="auto" w:fill="FFFFFF"/>
        <w:spacing w:before="100" w:beforeAutospacing="1" w:after="100" w:afterAutospacing="1"/>
        <w:ind w:firstLineChars="0"/>
        <w:rPr>
          <w:rFonts w:hint="eastAsia" w:ascii="宋体" w:hAnsi="宋体" w:cs="宋体"/>
          <w:color w:val="000000"/>
          <w:kern w:val="0"/>
          <w:sz w:val="27"/>
          <w:szCs w:val="27"/>
        </w:rPr>
      </w:pPr>
      <w:r>
        <w:rPr>
          <w:rFonts w:ascii="_5b8b_4f53" w:hAnsi="_5b8b_4f53" w:cs="宋体"/>
          <w:color w:val="000000"/>
          <w:kern w:val="0"/>
          <w:sz w:val="30"/>
          <w:szCs w:val="30"/>
        </w:rPr>
        <w:t>管理和指导全区公证机构和公证业务工作；</w:t>
      </w:r>
    </w:p>
    <w:p>
      <w:pPr>
        <w:pStyle w:val="9"/>
        <w:widowControl/>
        <w:shd w:val="clear" w:color="auto" w:fill="FFFFFF"/>
        <w:spacing w:before="100" w:beforeAutospacing="1" w:after="100" w:afterAutospacing="1"/>
        <w:ind w:left="150" w:firstLine="600"/>
        <w:rPr>
          <w:rFonts w:hint="eastAsia" w:ascii="_5b8b_4f53" w:hAnsi="_5b8b_4f53" w:cs="宋体"/>
          <w:color w:val="000000"/>
          <w:kern w:val="0"/>
          <w:sz w:val="30"/>
          <w:szCs w:val="30"/>
        </w:rPr>
      </w:pPr>
      <w:r>
        <w:rPr>
          <w:rFonts w:hint="eastAsia" w:ascii="_5b8b_4f53" w:hAnsi="_5b8b_4f53" w:cs="宋体"/>
          <w:color w:val="000000"/>
          <w:kern w:val="0"/>
          <w:sz w:val="30"/>
          <w:szCs w:val="30"/>
        </w:rPr>
        <w:t>（九）</w:t>
      </w:r>
      <w:r>
        <w:rPr>
          <w:rFonts w:ascii="_5b8b_4f53" w:hAnsi="_5b8b_4f53" w:cs="宋体"/>
          <w:color w:val="000000"/>
          <w:kern w:val="0"/>
          <w:sz w:val="30"/>
          <w:szCs w:val="30"/>
        </w:rPr>
        <w:t>指导全区人民调解、基层法律服务、刑释解教人员安置帮教和社区矫正工作；</w:t>
      </w:r>
    </w:p>
    <w:p>
      <w:pPr>
        <w:pStyle w:val="9"/>
        <w:widowControl/>
        <w:shd w:val="clear" w:color="auto" w:fill="FFFFFF"/>
        <w:spacing w:before="100" w:beforeAutospacing="1" w:after="100" w:afterAutospacing="1"/>
        <w:ind w:left="150" w:firstLine="600"/>
        <w:rPr>
          <w:rFonts w:hint="eastAsia" w:ascii="宋体" w:hAnsi="宋体" w:cs="宋体"/>
          <w:color w:val="000000"/>
          <w:kern w:val="0"/>
          <w:sz w:val="27"/>
          <w:szCs w:val="27"/>
        </w:rPr>
      </w:pPr>
      <w:r>
        <w:rPr>
          <w:rFonts w:hint="eastAsia" w:ascii="_5b8b_4f53" w:hAnsi="_5b8b_4f53" w:cs="宋体"/>
          <w:color w:val="000000"/>
          <w:kern w:val="0"/>
          <w:sz w:val="30"/>
          <w:szCs w:val="30"/>
        </w:rPr>
        <w:t>（十）</w:t>
      </w:r>
      <w:r>
        <w:rPr>
          <w:rFonts w:ascii="_5b8b_4f53" w:hAnsi="_5b8b_4f53" w:cs="宋体"/>
          <w:color w:val="000000"/>
          <w:kern w:val="0"/>
          <w:sz w:val="30"/>
          <w:szCs w:val="30"/>
        </w:rPr>
        <w:t>管理和监督本区面向社会服务的司法鉴定工作；监督局属单位国有资产的保值增值、负责本系统的装备工作；</w:t>
      </w:r>
    </w:p>
    <w:p>
      <w:pPr>
        <w:widowControl/>
        <w:shd w:val="clear" w:color="auto" w:fill="FFFFFF"/>
        <w:spacing w:before="100" w:beforeAutospacing="1" w:after="100" w:afterAutospacing="1"/>
        <w:ind w:firstLine="750" w:firstLineChars="250"/>
        <w:rPr>
          <w:rFonts w:hint="eastAsia" w:ascii="宋体" w:hAnsi="宋体" w:cs="宋体"/>
          <w:color w:val="000000"/>
          <w:kern w:val="0"/>
          <w:sz w:val="27"/>
          <w:szCs w:val="27"/>
        </w:rPr>
      </w:pPr>
      <w:r>
        <w:rPr>
          <w:rFonts w:hint="eastAsia" w:ascii="_5b8b_4f53" w:hAnsi="_5b8b_4f53" w:cs="宋体"/>
          <w:color w:val="000000"/>
          <w:kern w:val="0"/>
          <w:sz w:val="30"/>
          <w:szCs w:val="30"/>
        </w:rPr>
        <w:t>（十一）</w:t>
      </w:r>
      <w:r>
        <w:rPr>
          <w:rFonts w:ascii="_5b8b_4f53" w:hAnsi="_5b8b_4f53" w:cs="宋体"/>
          <w:color w:val="000000"/>
          <w:kern w:val="0"/>
          <w:sz w:val="30"/>
          <w:szCs w:val="30"/>
        </w:rPr>
        <w:t>指导全区司法行政系统的队伍建设、思想政治工作和干部培训工作，负责局机关、局属单位的组织、人事工作；</w:t>
      </w:r>
    </w:p>
    <w:p>
      <w:pPr>
        <w:widowControl/>
        <w:shd w:val="clear" w:color="auto" w:fill="FFFFFF"/>
        <w:spacing w:before="100" w:beforeAutospacing="1" w:after="100" w:afterAutospacing="1"/>
        <w:ind w:firstLine="600" w:firstLineChars="200"/>
        <w:rPr>
          <w:rFonts w:hint="eastAsia" w:ascii="宋体" w:hAnsi="宋体" w:cs="宋体"/>
          <w:color w:val="000000"/>
          <w:kern w:val="0"/>
          <w:sz w:val="27"/>
          <w:szCs w:val="27"/>
        </w:rPr>
      </w:pPr>
      <w:r>
        <w:rPr>
          <w:rFonts w:hint="eastAsia" w:ascii="_5b8b_4f53" w:hAnsi="_5b8b_4f53" w:cs="宋体"/>
          <w:color w:val="000000"/>
          <w:kern w:val="0"/>
          <w:sz w:val="30"/>
          <w:szCs w:val="30"/>
        </w:rPr>
        <w:t>（十二）</w:t>
      </w:r>
      <w:r>
        <w:rPr>
          <w:rFonts w:ascii="_5b8b_4f53" w:hAnsi="_5b8b_4f53" w:cs="宋体"/>
          <w:color w:val="000000"/>
          <w:kern w:val="0"/>
          <w:sz w:val="30"/>
          <w:szCs w:val="30"/>
        </w:rPr>
        <w:t>管理乡、镇、办事处司法所领导干部；参与社会治安综合治理工作；承办区委、区政府和上级主管部门交办的其</w:t>
      </w:r>
      <w:r>
        <w:rPr>
          <w:rFonts w:hint="eastAsia" w:ascii="_5b8b_4f53" w:hAnsi="_5b8b_4f53" w:cs="宋体"/>
          <w:color w:val="000000"/>
          <w:kern w:val="0"/>
          <w:sz w:val="30"/>
          <w:szCs w:val="30"/>
        </w:rPr>
        <w:t>他工作。</w:t>
      </w:r>
    </w:p>
    <w:p>
      <w:pPr>
        <w:spacing w:line="360" w:lineRule="auto"/>
        <w:ind w:firstLine="960" w:firstLineChars="300"/>
        <w:jc w:val="left"/>
        <w:rPr>
          <w:rFonts w:ascii="楷体_GB2312" w:hAnsi="楷体_GB2312" w:eastAsia="楷体_GB2312" w:cs="楷体_GB2312"/>
          <w:sz w:val="32"/>
          <w:szCs w:val="32"/>
        </w:rPr>
      </w:pPr>
    </w:p>
    <w:p>
      <w:pPr>
        <w:numPr>
          <w:ilvl w:val="0"/>
          <w:numId w:val="5"/>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numPr>
          <w:ilvl w:val="0"/>
          <w:numId w:val="6"/>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（一）纳入司法局2017年度部门决算编制范围的单位包括本级决算和所属单位决算在内的汇总决算。</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360" w:lineRule="auto"/>
        <w:ind w:firstLine="640" w:firstLineChars="200"/>
        <w:jc w:val="left"/>
        <w:rPr>
          <w:rFonts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司法局下辖三个二级机构：浉河区法律援助中心和申城公证处两个全供事业单位、148协调指挥中心一个自筹事业单位，单位规格都为正股级。司法局内设机构六个；办公室、宣传教育股、社区矫正管理股、法制工作股、基层工作股和政工股。</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司法局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2017年度收入总计534.32万元，支出总计712.84万元，与2016年相比，收入增加54.76万元，增长11%，支出增加308.5万元，增长78%。</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收入合计534.32万元，其中：财政拨款收入534.32万元，占100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2017年度支出合计712.84万元，其中：基本支出712.84万元，占100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2017年财政拨款收入</w:t>
      </w:r>
      <w:r>
        <w:rPr>
          <w:rFonts w:hint="eastAsia" w:ascii="仿宋_GB2312" w:hAnsi="Times New Roman" w:eastAsia="仿宋_GB2312"/>
          <w:sz w:val="32"/>
          <w:szCs w:val="32"/>
        </w:rPr>
        <w:t>534.32万元，财政拨款</w:t>
      </w:r>
      <w:r>
        <w:rPr>
          <w:rFonts w:hint="eastAsia" w:ascii="仿宋_GB2312" w:hAnsi="宋体" w:eastAsia="仿宋_GB2312" w:cs="Courier New"/>
          <w:sz w:val="32"/>
          <w:szCs w:val="32"/>
        </w:rPr>
        <w:t>支出总计712.84万元，与2016年相比，财政拨款收入增加54.76万元，增长11%，、财政拨款支出增加308.5万元，增长78 %。</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2017年一般公共预算财政拨款支出712.84万元，占支出合计的100%。与2016年相比，一般公共预算财政拨款支出增加308.5万元，增长78%。</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2017年度一般公共预算财政拨款支出712.84万元，主要用于以下方面：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支出712.84万元，占100%；</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2017年度一般公共预算财政拨款支出年初预算为496万元，支出决算为712.84万元，完成年初预算的167.6%。决算数大于预算数的主要原因：一是工资增长，二是临时性工作任务。其中：</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一般公共服务（类）财政事务（款）行政运行（项）。人员经旨</w:t>
      </w:r>
      <w:r>
        <w:rPr>
          <w:rFonts w:hint="eastAsia" w:ascii="仿宋_GB2312" w:hAnsi="宋体" w:eastAsia="仿宋_GB2312" w:cs="Courier New"/>
          <w:sz w:val="32"/>
          <w:szCs w:val="32"/>
        </w:rPr>
        <w:t>年初预算为304万元，支出决算为329.06万元，完成年初预算的１０８%。决算数大于预算数的主要原因是工资增长。</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一般公共服务（类）财政事务（款）一般行政管理事务（项）。日常公用经费</w:t>
      </w:r>
      <w:r>
        <w:rPr>
          <w:rFonts w:hint="eastAsia" w:ascii="仿宋_GB2312" w:hAnsi="宋体" w:eastAsia="仿宋_GB2312" w:cs="Courier New"/>
          <w:sz w:val="32"/>
          <w:szCs w:val="32"/>
        </w:rPr>
        <w:t>年初预算为192万元，支出决算为383.78万元，完成年初预算的197%。决算数大于预算数的主要原因是临时性工作任务增加。</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2017年一般公共预算财政拨款基本支出７１２.８４万元，其中：</w:t>
      </w:r>
      <w:r>
        <w:rPr>
          <w:rFonts w:hint="eastAsia" w:ascii="仿宋_GB2312" w:hAnsi="Times New Roman" w:eastAsia="仿宋_GB2312" w:cs="仿宋_GB2312"/>
          <w:bCs/>
          <w:spacing w:val="-1"/>
          <w:kern w:val="0"/>
          <w:sz w:val="32"/>
          <w:szCs w:val="32"/>
        </w:rPr>
        <w:t>人员经费329.06万元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383.78万元</w:t>
      </w:r>
      <w:r>
        <w:rPr>
          <w:rFonts w:hint="eastAsia" w:ascii="仿宋_GB2312" w:hAnsi="宋体" w:eastAsia="仿宋_GB2312" w:cs="Courier New"/>
          <w:sz w:val="32"/>
          <w:szCs w:val="32"/>
        </w:rPr>
        <w:t>，主要包括：办公费等。</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12.4万元，支出决算为12.2万元，完成预算的98.3%，其中：因公出国（境）费支出决算为0万元，完成预算的0%；公务用车购置及运行费支出决算为5.8万元，完成预算的46.7%；公务接待费支出决算为6.4万元，完成预算的51.6%。2017年度“三公”经费支出决算数小于预算数的主要原因是单位严格控制</w:t>
      </w:r>
      <w:r>
        <w:rPr>
          <w:rFonts w:ascii="仿宋_GB2312" w:hAnsi="宋体" w:eastAsia="仿宋_GB2312" w:cs="Courier New"/>
          <w:sz w:val="32"/>
          <w:szCs w:val="32"/>
        </w:rPr>
        <w:t>”</w:t>
      </w:r>
      <w:r>
        <w:rPr>
          <w:rFonts w:hint="eastAsia" w:ascii="仿宋_GB2312" w:hAnsi="宋体" w:eastAsia="仿宋_GB2312" w:cs="Courier New"/>
          <w:sz w:val="32"/>
          <w:szCs w:val="32"/>
        </w:rPr>
        <w:t>三公经费</w:t>
      </w:r>
      <w:r>
        <w:rPr>
          <w:rFonts w:ascii="仿宋_GB2312" w:hAnsi="宋体" w:eastAsia="仿宋_GB2312" w:cs="Courier New"/>
          <w:sz w:val="32"/>
          <w:szCs w:val="32"/>
        </w:rPr>
        <w:t>”</w:t>
      </w:r>
      <w:r>
        <w:rPr>
          <w:rFonts w:hint="eastAsia" w:ascii="仿宋_GB2312" w:hAnsi="宋体" w:eastAsia="仿宋_GB2312" w:cs="Courier New"/>
          <w:sz w:val="32"/>
          <w:szCs w:val="32"/>
        </w:rPr>
        <w:t>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０.２万元，下降１.６%，其中：因公出国（境）费支出决算减少０万元，下降０%；公务用车购置及运行费支出决算减少０.２万元，下降１.６%；公务接待费支出决算减少０万元，下降０%。因公出国（境）费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rPr>
        <w:t>的主要原因是严格控制因公出国(境)的管理；公务用车购置及运行费支出减少的主要原因是严格控制公务用车的管理；公务接待费支出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rPr>
        <w:t>的主要原因是严格按理公务接待费的支出管理。</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2017年度“三公”经费财政拨款支出决算中，因公出国（境）费支出决算０万元，占０%；公务用车购置及运行费支出决算5.8万元，占47.5%；公务接待费支出决算6.4万元，占52.5%。具体情况如下：</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支出0万元。全年安排局机关、局属二级单位因公出国（境）团组0个，累计0人次。开支内容包括：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支出0万元，主要用于参加以下国际会议：无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支出5.8万元。其中：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支出5.8万元。主要用于公务用车的加油和维修费用。2017年期末，司法局机关、局属二级单位开支财政拨款的公务用车保有量为3辆。</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支出６.４万元。其中：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支出为０万元。司法局2017年度共接待国（境）外来访团组０个、来访外宾０人次（不包括陪同人员）。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支出为６.４万元，共计５３批次４５６人次（不包括陪同人员），主要用于公务接待和加班用餐。。</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根据财政预算管理要求，司法局对2017年度一般公共预算项目支出全面开展绩效自评。其中，法律援助和社区矫正，共涉及预算资金68.11万元，自评覆盖率达到100%。</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司法局在2017年度部门决算中增加“法律援助经费”项目绩效评价结果。根据2017年年初设定的绩效目标，“法律援助经费”项目自评得分为90分。发现的主要问题：法律援助经费要求专款专用，不能用于发放值班人员工资。下一步改进措施：退回发放的值班人员工资，按要求使用好法律援助经费，应援尽援。</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2017年度政府性基金预算财政拨款支出年初预算为０万元，支出决算为０万元，完成年初预算的０%。</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2017年度机关运行经费支出383.78万元，比2016年增加230.41万元，增长170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153.37万元，其中：政府采购货物支出153.37万元，政府采购工程支出0万元，政府采购服务支出0万元。授予中小企业合同金额0万元，占政府采购支出总额的0%，其中：授予小微企业合同金额0万元，占政府采购支出总额的0%。</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司法局共有车辆3辆，其中：省级领导干部用车0辆、一般公务用车0辆、一般执法执勤用车3辆、特种专业技术用车0辆，其他用车0辆，其他用车无；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bookmarkEnd w:id="0"/>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_5b8b_4f53">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C97"/>
    <w:multiLevelType w:val="multilevel"/>
    <w:tmpl w:val="15423C97"/>
    <w:lvl w:ilvl="0" w:tentative="0">
      <w:start w:val="6"/>
      <w:numFmt w:val="japaneseCounting"/>
      <w:lvlText w:val="（%1）"/>
      <w:lvlJc w:val="left"/>
      <w:pPr>
        <w:ind w:left="1650" w:hanging="900"/>
      </w:pPr>
      <w:rPr>
        <w:rFonts w:hint="default" w:ascii="_5b8b_4f53" w:hAnsi="_5b8b_4f53"/>
        <w:sz w:val="30"/>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10">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1">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2">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13">
    <w:nsid w:val="6D3028F3"/>
    <w:multiLevelType w:val="multilevel"/>
    <w:tmpl w:val="6D3028F3"/>
    <w:lvl w:ilvl="0" w:tentative="0">
      <w:start w:val="9"/>
      <w:numFmt w:val="japaneseCounting"/>
      <w:lvlText w:val="（%1）"/>
      <w:lvlJc w:val="left"/>
      <w:pPr>
        <w:ind w:left="1650" w:hanging="900"/>
      </w:pPr>
      <w:rPr>
        <w:rFonts w:hint="default" w:ascii="_5b8b_4f53" w:hAnsi="_5b8b_4f53"/>
        <w:sz w:val="30"/>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num w:numId="1">
    <w:abstractNumId w:val="1"/>
  </w:num>
  <w:num w:numId="2">
    <w:abstractNumId w:val="2"/>
  </w:num>
  <w:num w:numId="3">
    <w:abstractNumId w:val="0"/>
  </w:num>
  <w:num w:numId="4">
    <w:abstractNumId w:val="13"/>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C4FA5"/>
    <w:rsid w:val="002626CB"/>
    <w:rsid w:val="002A13B5"/>
    <w:rsid w:val="002E6A11"/>
    <w:rsid w:val="00323ADB"/>
    <w:rsid w:val="0038684F"/>
    <w:rsid w:val="003C00AF"/>
    <w:rsid w:val="003C1835"/>
    <w:rsid w:val="003C598F"/>
    <w:rsid w:val="004150A8"/>
    <w:rsid w:val="00434965"/>
    <w:rsid w:val="00440EB1"/>
    <w:rsid w:val="004B3644"/>
    <w:rsid w:val="00551EF5"/>
    <w:rsid w:val="00602FE4"/>
    <w:rsid w:val="00630D31"/>
    <w:rsid w:val="006F68AC"/>
    <w:rsid w:val="00722874"/>
    <w:rsid w:val="00737710"/>
    <w:rsid w:val="00756CF2"/>
    <w:rsid w:val="00783862"/>
    <w:rsid w:val="00793F89"/>
    <w:rsid w:val="007F6F76"/>
    <w:rsid w:val="008373E2"/>
    <w:rsid w:val="0097279C"/>
    <w:rsid w:val="009B0887"/>
    <w:rsid w:val="009B21AA"/>
    <w:rsid w:val="00A2536C"/>
    <w:rsid w:val="00AC166F"/>
    <w:rsid w:val="00AD430D"/>
    <w:rsid w:val="00B54309"/>
    <w:rsid w:val="00B84FB0"/>
    <w:rsid w:val="00BD7C74"/>
    <w:rsid w:val="00C43FAE"/>
    <w:rsid w:val="00CC4482"/>
    <w:rsid w:val="00DB1288"/>
    <w:rsid w:val="00E10042"/>
    <w:rsid w:val="00E30AAF"/>
    <w:rsid w:val="00E41B4E"/>
    <w:rsid w:val="00E5477D"/>
    <w:rsid w:val="00EE0BEE"/>
    <w:rsid w:val="00F02558"/>
    <w:rsid w:val="00F132F4"/>
    <w:rsid w:val="00F93487"/>
    <w:rsid w:val="01064770"/>
    <w:rsid w:val="04453648"/>
    <w:rsid w:val="09BB2134"/>
    <w:rsid w:val="13DA4090"/>
    <w:rsid w:val="15492582"/>
    <w:rsid w:val="1BB26345"/>
    <w:rsid w:val="1E7D3B34"/>
    <w:rsid w:val="209C4FF0"/>
    <w:rsid w:val="258F34D6"/>
    <w:rsid w:val="2BA4769A"/>
    <w:rsid w:val="2CD06EF4"/>
    <w:rsid w:val="30C22034"/>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722</Words>
  <Characters>4122</Characters>
  <Lines>34</Lines>
  <Paragraphs>9</Paragraphs>
  <TotalTime>210</TotalTime>
  <ScaleCrop>false</ScaleCrop>
  <LinksUpToDate>false</LinksUpToDate>
  <CharactersWithSpaces>4835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2019-02-12T09:25:46Z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