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浉河区房管中心</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浉河区房管中心</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浉河区房管中心2017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浉河区房管中心</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atLeast"/>
        <w:ind w:left="0" w:right="0" w:firstLine="600" w:firstLineChars="200"/>
        <w:jc w:val="left"/>
        <w:textAlignment w:val="auto"/>
        <w:outlineLvl w:val="9"/>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rPr>
        <w:t>1</w:t>
      </w:r>
      <w:r>
        <w:rPr>
          <w:rFonts w:hint="eastAsia" w:ascii="宋体" w:hAnsi="宋体" w:eastAsia="宋体" w:cs="宋体"/>
          <w:b w:val="0"/>
          <w:color w:val="333333"/>
          <w:spacing w:val="0"/>
          <w:sz w:val="30"/>
          <w:szCs w:val="30"/>
          <w:u w:val="none"/>
        </w:rPr>
        <w:t>、贯彻执行国家、省市有关房产业的法律、法规法规、政策；拟定全区房产管理的规范性文件，并组织实施；查处违反房产法律、法规的各种违法行为。</w:t>
      </w:r>
    </w:p>
    <w:p>
      <w:pPr>
        <w:pStyle w:val="4"/>
        <w:keepNext w:val="0"/>
        <w:keepLines w:val="0"/>
        <w:widowControl/>
        <w:suppressLineNumbers w:val="0"/>
        <w:wordWrap w:val="0"/>
        <w:spacing w:before="0" w:beforeAutospacing="0" w:after="0" w:afterAutospacing="0" w:line="580" w:lineRule="atLeast"/>
        <w:ind w:left="0" w:right="0" w:firstLine="420"/>
        <w:jc w:val="left"/>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eastAsia="zh-CN"/>
        </w:rPr>
        <w:t xml:space="preserve"> </w:t>
      </w:r>
      <w:r>
        <w:rPr>
          <w:rFonts w:hint="eastAsia" w:ascii="宋体" w:hAnsi="宋体" w:eastAsia="宋体" w:cs="宋体"/>
          <w:b w:val="0"/>
          <w:color w:val="333333"/>
          <w:spacing w:val="0"/>
          <w:sz w:val="30"/>
          <w:szCs w:val="30"/>
          <w:u w:val="none"/>
          <w:lang w:val="en-US"/>
        </w:rPr>
        <w:t>2</w:t>
      </w:r>
      <w:r>
        <w:rPr>
          <w:rFonts w:hint="eastAsia" w:ascii="宋体" w:hAnsi="宋体" w:eastAsia="宋体" w:cs="宋体"/>
          <w:b w:val="0"/>
          <w:color w:val="333333"/>
          <w:spacing w:val="0"/>
          <w:sz w:val="30"/>
          <w:szCs w:val="30"/>
          <w:u w:val="none"/>
        </w:rPr>
        <w:t>、负责全区住房制度改革工作；贯彻落实国家、省市住房制度改革的方针、政策和措施，研究拟定全区有关住房制度改革的具体政策和实施办法。</w:t>
      </w:r>
    </w:p>
    <w:p>
      <w:pPr>
        <w:pStyle w:val="4"/>
        <w:keepNext w:val="0"/>
        <w:keepLines w:val="0"/>
        <w:widowControl/>
        <w:suppressLineNumbers w:val="0"/>
        <w:wordWrap w:val="0"/>
        <w:spacing w:before="0" w:beforeAutospacing="0" w:after="0" w:afterAutospacing="0" w:line="580" w:lineRule="atLeast"/>
        <w:ind w:left="0" w:right="0" w:firstLine="420"/>
        <w:jc w:val="left"/>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eastAsia="zh-CN"/>
        </w:rPr>
        <w:t>3</w:t>
      </w:r>
      <w:r>
        <w:rPr>
          <w:rFonts w:hint="eastAsia" w:ascii="宋体" w:hAnsi="宋体" w:eastAsia="宋体" w:cs="宋体"/>
          <w:b w:val="0"/>
          <w:color w:val="333333"/>
          <w:spacing w:val="0"/>
          <w:sz w:val="30"/>
          <w:szCs w:val="30"/>
          <w:u w:val="none"/>
        </w:rPr>
        <w:t>、负责全区保障性住房审核、申报，并指导实施；负责城区公共租赁住房建设、分配、管理工作。</w:t>
      </w:r>
    </w:p>
    <w:p>
      <w:pPr>
        <w:pStyle w:val="4"/>
        <w:keepNext w:val="0"/>
        <w:keepLines w:val="0"/>
        <w:widowControl/>
        <w:suppressLineNumbers w:val="0"/>
        <w:wordWrap w:val="0"/>
        <w:spacing w:before="0" w:beforeAutospacing="0" w:after="0" w:afterAutospacing="0" w:line="580" w:lineRule="atLeast"/>
        <w:ind w:left="0" w:right="0" w:firstLine="420"/>
        <w:jc w:val="left"/>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eastAsia="zh-CN"/>
        </w:rPr>
        <w:t xml:space="preserve"> 4</w:t>
      </w:r>
      <w:r>
        <w:rPr>
          <w:rFonts w:hint="eastAsia" w:ascii="宋体" w:hAnsi="宋体" w:eastAsia="宋体" w:cs="宋体"/>
          <w:b w:val="0"/>
          <w:color w:val="333333"/>
          <w:spacing w:val="0"/>
          <w:sz w:val="30"/>
          <w:szCs w:val="30"/>
          <w:u w:val="none"/>
        </w:rPr>
        <w:t>、负责区本级直管公房的修缮管理工作。</w:t>
      </w:r>
    </w:p>
    <w:p>
      <w:pPr>
        <w:pStyle w:val="4"/>
        <w:keepNext w:val="0"/>
        <w:keepLines w:val="0"/>
        <w:widowControl/>
        <w:suppressLineNumbers w:val="0"/>
        <w:wordWrap w:val="0"/>
        <w:spacing w:before="0" w:beforeAutospacing="0" w:after="0" w:afterAutospacing="0" w:line="580" w:lineRule="atLeast"/>
        <w:ind w:left="0" w:right="0" w:firstLine="420"/>
        <w:jc w:val="left"/>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eastAsia="zh-CN"/>
        </w:rPr>
        <w:t xml:space="preserve"> 5</w:t>
      </w:r>
      <w:r>
        <w:rPr>
          <w:rFonts w:hint="eastAsia" w:ascii="宋体" w:hAnsi="宋体" w:eastAsia="宋体" w:cs="宋体"/>
          <w:b w:val="0"/>
          <w:color w:val="333333"/>
          <w:spacing w:val="0"/>
          <w:sz w:val="30"/>
          <w:szCs w:val="30"/>
          <w:u w:val="none"/>
        </w:rPr>
        <w:t>、负责全区物业管理行业管理，规范物业管理市场；物业管理企业</w:t>
      </w:r>
      <w:r>
        <w:rPr>
          <w:rFonts w:hint="eastAsia" w:ascii="宋体" w:hAnsi="宋体" w:eastAsia="宋体" w:cs="宋体"/>
          <w:b w:val="0"/>
          <w:color w:val="333333"/>
          <w:spacing w:val="0"/>
          <w:sz w:val="30"/>
          <w:szCs w:val="30"/>
          <w:u w:val="none"/>
          <w:lang w:val="en-US" w:eastAsia="zh-CN"/>
        </w:rPr>
        <w:t>备案</w:t>
      </w:r>
      <w:r>
        <w:rPr>
          <w:rFonts w:hint="eastAsia" w:ascii="宋体" w:hAnsi="宋体" w:eastAsia="宋体" w:cs="宋体"/>
          <w:b w:val="0"/>
          <w:color w:val="333333"/>
          <w:spacing w:val="0"/>
          <w:sz w:val="30"/>
          <w:szCs w:val="30"/>
          <w:u w:val="none"/>
        </w:rPr>
        <w:t>、业务指导工作。</w:t>
      </w:r>
    </w:p>
    <w:p>
      <w:pPr>
        <w:pStyle w:val="4"/>
        <w:keepNext w:val="0"/>
        <w:keepLines w:val="0"/>
        <w:widowControl/>
        <w:suppressLineNumbers w:val="0"/>
        <w:wordWrap w:val="0"/>
        <w:spacing w:before="0" w:beforeAutospacing="0" w:after="0" w:afterAutospacing="0" w:line="580" w:lineRule="atLeast"/>
        <w:ind w:left="0" w:right="0" w:firstLine="420"/>
        <w:jc w:val="left"/>
        <w:rPr>
          <w:rFonts w:hint="eastAsia" w:ascii="宋体" w:hAnsi="宋体" w:eastAsia="宋体" w:cs="宋体"/>
          <w:b w:val="0"/>
          <w:color w:val="333333"/>
          <w:spacing w:val="0"/>
          <w:sz w:val="30"/>
          <w:szCs w:val="30"/>
          <w:u w:val="none"/>
          <w:lang w:val="en-US"/>
        </w:rPr>
      </w:pPr>
      <w:r>
        <w:rPr>
          <w:rFonts w:hint="eastAsia" w:ascii="宋体" w:hAnsi="宋体" w:eastAsia="宋体" w:cs="宋体"/>
          <w:b w:val="0"/>
          <w:color w:val="333333"/>
          <w:spacing w:val="0"/>
          <w:sz w:val="30"/>
          <w:szCs w:val="30"/>
          <w:u w:val="none"/>
          <w:lang w:val="en-US" w:eastAsia="zh-CN"/>
        </w:rPr>
        <w:t xml:space="preserve"> 6</w:t>
      </w:r>
      <w:r>
        <w:rPr>
          <w:rFonts w:hint="eastAsia" w:ascii="宋体" w:hAnsi="宋体" w:eastAsia="宋体" w:cs="宋体"/>
          <w:b w:val="0"/>
          <w:color w:val="333333"/>
          <w:spacing w:val="0"/>
          <w:sz w:val="30"/>
          <w:szCs w:val="30"/>
          <w:u w:val="none"/>
        </w:rPr>
        <w:t>、负责直管公房的经营管理工作。</w:t>
      </w:r>
    </w:p>
    <w:p>
      <w:pPr>
        <w:numPr>
          <w:ilvl w:val="0"/>
          <w:numId w:val="0"/>
        </w:numPr>
        <w:spacing w:line="360" w:lineRule="auto"/>
        <w:ind w:leftChars="200"/>
        <w:jc w:val="left"/>
        <w:rPr>
          <w:rFonts w:ascii="仿宋_GB2312" w:hAnsi="仿宋_GB2312" w:eastAsia="仿宋_GB2312" w:cs="仿宋_GB2312"/>
          <w:sz w:val="32"/>
          <w:szCs w:val="32"/>
        </w:rPr>
      </w:pPr>
      <w:r>
        <w:rPr>
          <w:rFonts w:hint="eastAsia" w:ascii="宋体" w:hAnsi="宋体" w:eastAsia="宋体" w:cs="宋体"/>
          <w:b w:val="0"/>
          <w:color w:val="333333"/>
          <w:spacing w:val="0"/>
          <w:sz w:val="30"/>
          <w:szCs w:val="30"/>
          <w:u w:val="none"/>
          <w:lang w:val="en-US" w:eastAsia="zh-CN"/>
        </w:rPr>
        <w:t xml:space="preserve"> 7</w:t>
      </w:r>
      <w:r>
        <w:rPr>
          <w:rFonts w:hint="eastAsia" w:ascii="宋体" w:hAnsi="宋体" w:eastAsia="宋体" w:cs="宋体"/>
          <w:b w:val="0"/>
          <w:color w:val="333333"/>
          <w:spacing w:val="0"/>
          <w:sz w:val="30"/>
          <w:szCs w:val="30"/>
          <w:u w:val="none"/>
        </w:rPr>
        <w:t>、完成区委、区政府和上级主管部门交办的其他工作</w:t>
      </w:r>
    </w:p>
    <w:p>
      <w:pPr>
        <w:numPr>
          <w:ilvl w:val="0"/>
          <w:numId w:val="0"/>
        </w:numPr>
        <w:spacing w:line="360" w:lineRule="auto"/>
        <w:ind w:leftChars="200"/>
        <w:jc w:val="left"/>
        <w:rPr>
          <w:rFonts w:ascii="楷体_GB2312" w:hAnsi="楷体_GB2312" w:eastAsia="楷体_GB2312" w:cs="楷体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浉河区房产管理中心为区政府直属全供事业单位，正科级规格，内设办公室、住房保障建设股、人事股、房管股、物业股等5个股室。中心下设信阳市房屋建设开发公司、住房保障办、老城房管所、车站房管所、产权交易管理所等5个事业单位，经费实行自收自支管理。其中：中心机关、区产权所、住房保障办为预算管理单位。</w:t>
      </w:r>
    </w:p>
    <w:p>
      <w:pPr>
        <w:spacing w:line="600" w:lineRule="exact"/>
        <w:ind w:firstLine="630"/>
        <w:rPr>
          <w:rFonts w:hint="eastAsia" w:eastAsia="仿宋_GB2312"/>
          <w:color w:val="000000"/>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浉河区房管中心2017</w:t>
      </w:r>
      <w:r>
        <w:rPr>
          <w:rFonts w:hint="eastAsia" w:ascii="仿宋_GB2312" w:hAnsi="仿宋_GB2312" w:eastAsia="仿宋_GB2312" w:cs="仿宋_GB2312"/>
          <w:sz w:val="32"/>
          <w:szCs w:val="32"/>
        </w:rPr>
        <w:t>年度部门决算编制范围的单位包括</w:t>
      </w:r>
      <w:r>
        <w:rPr>
          <w:rFonts w:hint="eastAsia" w:eastAsia="仿宋_GB2312"/>
          <w:color w:val="000000"/>
          <w:sz w:val="32"/>
          <w:szCs w:val="32"/>
        </w:rPr>
        <w:t>本级决算和所属单位决算在内的汇总决算</w:t>
      </w:r>
      <w:r>
        <w:rPr>
          <w:rFonts w:hint="eastAsia" w:eastAsia="仿宋_GB2312"/>
          <w:color w:val="000000"/>
          <w:sz w:val="32"/>
          <w:szCs w:val="32"/>
          <w:lang w:eastAsia="zh-CN"/>
        </w:rPr>
        <w:t>。</w:t>
      </w:r>
    </w:p>
    <w:p>
      <w:pPr>
        <w:spacing w:line="360" w:lineRule="auto"/>
        <w:ind w:firstLine="640" w:firstLineChars="200"/>
        <w:jc w:val="left"/>
        <w:rPr>
          <w:rFonts w:ascii="黑体" w:hAnsi="黑体" w:eastAsia="黑体" w:cs="黑体"/>
          <w:sz w:val="32"/>
          <w:szCs w:val="32"/>
        </w:rPr>
      </w:pP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52"/>
          <w:szCs w:val="52"/>
          <w:lang w:eastAsia="zh-CN"/>
        </w:rPr>
        <w:t>浉河区房管中心</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2827.15</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2827.15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1267.74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81.3</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2827.15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2728.89</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96.5</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45.13</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1.6</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53.12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1.9</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2827.15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436.44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15.4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2390.70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84.60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2728.89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1330.79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95.2</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2728.89</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96.5</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1330.79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95.2</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2728.89</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住房保障支出</w:t>
      </w:r>
      <w:r>
        <w:rPr>
          <w:rFonts w:hint="eastAsia" w:ascii="仿宋_GB2312" w:hAnsi="宋体" w:eastAsia="仿宋_GB2312" w:cs="Courier New"/>
          <w:sz w:val="32"/>
          <w:szCs w:val="32"/>
          <w:lang w:val="en-US" w:eastAsia="zh-CN"/>
        </w:rPr>
        <w:t>958.05万元，占35.1%；社会保障和就业支出17.09万元，占0.6%；城乡社区支出1753.76万元（其中基本支出321.11万元、项目支出1432.65万元）；</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263.76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2728.89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1035</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住房保障支出和基本建设类项目资金增加</w:t>
      </w:r>
      <w:r>
        <w:rPr>
          <w:rFonts w:hint="eastAsia" w:ascii="仿宋_GB2312" w:hAnsi="宋体" w:eastAsia="仿宋_GB2312" w:cs="Courier New"/>
          <w:sz w:val="32"/>
          <w:szCs w:val="32"/>
        </w:rPr>
        <w:t>。其中：</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其他事项</w:t>
      </w:r>
    </w:p>
    <w:p>
      <w:pPr>
        <w:numPr>
          <w:ilvl w:val="0"/>
          <w:numId w:val="0"/>
        </w:numPr>
        <w:adjustRightInd w:val="0"/>
        <w:snapToGrid w:val="0"/>
        <w:spacing w:line="360" w:lineRule="auto"/>
        <w:ind w:left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无其他事项</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2728.89</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275.81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w:t>
      </w:r>
      <w:r>
        <w:rPr>
          <w:rFonts w:hint="eastAsia" w:ascii="仿宋_GB2312" w:hAnsi="宋体" w:eastAsia="仿宋_GB2312" w:cs="Courier New"/>
          <w:sz w:val="32"/>
          <w:szCs w:val="32"/>
          <w:lang w:eastAsia="zh-CN"/>
        </w:rPr>
        <w:t>、奖金、其他社会保障缴费、机关事业单位基本养老保险缴费、职业年金缴费、其他工资福利支出、对个人和家庭的补助、离休费、退休费、生活补助、救济费、住房公积金、其他对个人和家庭的补助支出</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62.38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、印刷费、会议费、邮电费、差旅费、培训费、公务接待费、委托业务费、工会经费、其他交通费用、其它商品和服务支出、其他资本性支出、办公设备购置、专用设备购置、信息网络及软件购置更新等</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3.49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压缩“三公”经费的开支</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1.07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23</w:t>
      </w:r>
      <w:r>
        <w:rPr>
          <w:rFonts w:hint="eastAsia" w:ascii="仿宋_GB2312" w:hAnsi="宋体" w:eastAsia="仿宋_GB2312" w:cs="Courier New"/>
          <w:sz w:val="32"/>
          <w:szCs w:val="32"/>
        </w:rPr>
        <w:t>%，其中：因公出国（境）费支出决算减少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%；公务用车购置及运行费支出决算减少</w:t>
      </w:r>
      <w:r>
        <w:rPr>
          <w:rFonts w:hint="eastAsia" w:ascii="仿宋_GB2312" w:hAnsi="宋体" w:eastAsia="仿宋_GB2312" w:cs="Courier New"/>
          <w:sz w:val="32"/>
          <w:szCs w:val="32"/>
          <w:lang w:val="en-US" w:eastAsia="zh-CN"/>
        </w:rPr>
        <w:t>0.86</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0.21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压缩公车运行费</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压缩公务接待费</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3.49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全年安排因公出国（境）团组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r>
        <w:rPr>
          <w:rFonts w:hint="eastAsia" w:ascii="仿宋_GB2312" w:hAnsi="宋体" w:eastAsia="仿宋_GB2312" w:cs="Courier New"/>
          <w:sz w:val="32"/>
          <w:szCs w:val="32"/>
          <w:lang w:eastAsia="zh-CN"/>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3.49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浉河区房管中心2017</w:t>
      </w:r>
      <w:r>
        <w:rPr>
          <w:rFonts w:hint="eastAsia" w:ascii="仿宋_GB2312" w:hAnsi="宋体" w:eastAsia="仿宋_GB2312" w:cs="Courier New"/>
          <w:sz w:val="32"/>
          <w:szCs w:val="32"/>
        </w:rPr>
        <w:t>年度共接待国（境）外来访团组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个、来访外宾</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3.49</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加班工作餐。共</w:t>
      </w:r>
      <w:r>
        <w:rPr>
          <w:rFonts w:hint="eastAsia" w:ascii="仿宋_GB2312" w:hAnsi="宋体" w:eastAsia="仿宋_GB2312" w:cs="Courier New"/>
          <w:sz w:val="32"/>
          <w:szCs w:val="32"/>
          <w:lang w:val="en-US" w:eastAsia="zh-CN"/>
        </w:rPr>
        <w:t>60批次，582人次。</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0"/>
        </w:numPr>
        <w:adjustRightInd w:val="0"/>
        <w:snapToGrid w:val="0"/>
        <w:spacing w:line="360" w:lineRule="auto"/>
        <w:outlineLvl w:val="1"/>
        <w:rPr>
          <w:rFonts w:ascii="仿宋_GB2312" w:hAnsi="宋体" w:eastAsia="仿宋_GB2312" w:cs="Courier New"/>
          <w:sz w:val="32"/>
          <w:szCs w:val="32"/>
        </w:rPr>
      </w:pPr>
      <w:r>
        <w:rPr>
          <w:rFonts w:hint="eastAsia" w:ascii="黑体" w:hAnsi="黑体" w:eastAsia="黑体"/>
          <w:sz w:val="32"/>
          <w:szCs w:val="32"/>
          <w:lang w:val="en-US" w:eastAsia="zh-CN"/>
        </w:rPr>
        <w:t xml:space="preserve">    本单位未开展此项工作</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numPr>
          <w:ilvl w:val="0"/>
          <w:numId w:val="0"/>
        </w:numPr>
        <w:adjustRightInd w:val="0"/>
        <w:snapToGrid w:val="0"/>
        <w:spacing w:line="360" w:lineRule="auto"/>
        <w:outlineLvl w:val="1"/>
        <w:rPr>
          <w:rFonts w:hint="eastAsia" w:ascii="仿宋_GB2312" w:hAnsi="宋体" w:eastAsia="仿宋_GB2312" w:cs="Courier New"/>
          <w:sz w:val="32"/>
          <w:szCs w:val="32"/>
        </w:rPr>
      </w:pPr>
      <w:r>
        <w:rPr>
          <w:rFonts w:hint="eastAsia" w:ascii="黑体" w:hAnsi="黑体" w:eastAsia="黑体"/>
          <w:sz w:val="32"/>
          <w:szCs w:val="32"/>
          <w:lang w:val="en-US" w:eastAsia="zh-CN"/>
        </w:rPr>
        <w:t xml:space="preserve">    本单位无政府性基金预算</w:t>
      </w:r>
    </w:p>
    <w:p>
      <w:pPr>
        <w:numPr>
          <w:ilvl w:val="0"/>
          <w:numId w:val="4"/>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230.32</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76.92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4.96</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4.96</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浉河区房管中心</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辆，其中：省级领导干部用车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w:t>
      </w:r>
      <w:r>
        <w:rPr>
          <w:rFonts w:hint="eastAsia" w:ascii="仿宋_GB2312" w:hAnsi="宋体" w:eastAsia="仿宋_GB2312" w:cs="Courier New"/>
          <w:b/>
          <w:bCs/>
          <w:color w:val="FF0000"/>
          <w:sz w:val="32"/>
          <w:szCs w:val="32"/>
          <w:lang w:eastAsia="zh-CN"/>
        </w:rPr>
        <w:t>2017</w:t>
      </w:r>
      <w:r>
        <w:rPr>
          <w:rFonts w:hint="eastAsia" w:ascii="仿宋_GB2312" w:hAnsi="宋体" w:eastAsia="仿宋_GB2312" w:cs="Courier New"/>
          <w:b/>
          <w:bCs/>
          <w:color w:val="FF0000"/>
          <w:sz w:val="32"/>
          <w:szCs w:val="32"/>
        </w:rPr>
        <w:t>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hint="eastAsia" w:ascii="仿宋_GB2312" w:hAnsi="Times New Roman" w:eastAsia="仿宋_GB2312"/>
          <w:color w:val="FF0000"/>
          <w:sz w:val="32"/>
          <w:szCs w:val="32"/>
          <w:lang w:eastAsia="zh-CN"/>
        </w:rPr>
      </w:pPr>
    </w:p>
    <w:p>
      <w:pPr>
        <w:adjustRightInd w:val="0"/>
        <w:snapToGrid w:val="0"/>
        <w:spacing w:line="590" w:lineRule="exact"/>
        <w:jc w:val="left"/>
        <w:rPr>
          <w:rFonts w:ascii="黑体" w:hAnsi="仿宋_GB2312" w:eastAsia="黑体" w:cs="仿宋_GB2312"/>
          <w:sz w:val="32"/>
          <w:szCs w:val="32"/>
        </w:rPr>
      </w:pPr>
    </w:p>
    <w:p>
      <w:pPr>
        <w:rPr>
          <w:rFonts w:ascii="黑体" w:hAnsi="仿宋_GB2312" w:eastAsia="黑体" w:cs="仿宋_GB2312"/>
          <w:kern w:val="2"/>
          <w:sz w:val="32"/>
          <w:szCs w:val="32"/>
          <w:lang w:val="en-US" w:eastAsia="zh-CN" w:bidi="ar-SA"/>
        </w:rPr>
      </w:pPr>
    </w:p>
    <w:p>
      <w:pPr>
        <w:rPr>
          <w:rFonts w:ascii="黑体" w:hAnsi="仿宋_GB2312" w:eastAsia="黑体" w:cs="仿宋_GB2312"/>
          <w:kern w:val="2"/>
          <w:sz w:val="32"/>
          <w:szCs w:val="32"/>
          <w:lang w:val="en-US" w:eastAsia="zh-CN" w:bidi="ar-SA"/>
        </w:rPr>
      </w:pPr>
    </w:p>
    <w:p>
      <w:pPr>
        <w:rPr>
          <w:rFonts w:ascii="黑体" w:hAnsi="仿宋_GB2312" w:eastAsia="黑体" w:cs="仿宋_GB2312"/>
          <w:kern w:val="2"/>
          <w:sz w:val="32"/>
          <w:szCs w:val="32"/>
          <w:lang w:val="en-US" w:eastAsia="zh-CN" w:bidi="ar-SA"/>
        </w:rPr>
      </w:pPr>
    </w:p>
    <w:p>
      <w:pPr>
        <w:rPr>
          <w:rFonts w:ascii="黑体" w:hAnsi="仿宋_GB2312" w:eastAsia="黑体" w:cs="仿宋_GB2312"/>
          <w:kern w:val="2"/>
          <w:sz w:val="32"/>
          <w:szCs w:val="32"/>
          <w:lang w:val="en-US" w:eastAsia="zh-CN" w:bidi="ar-SA"/>
        </w:rPr>
      </w:pPr>
    </w:p>
    <w:p>
      <w:pPr>
        <w:rPr>
          <w:rFonts w:ascii="黑体" w:hAnsi="仿宋_GB2312" w:eastAsia="黑体" w:cs="仿宋_GB2312"/>
          <w:kern w:val="2"/>
          <w:sz w:val="32"/>
          <w:szCs w:val="32"/>
          <w:lang w:val="en-US" w:eastAsia="zh-CN" w:bidi="ar-SA"/>
        </w:rPr>
      </w:pPr>
    </w:p>
    <w:p>
      <w:pPr>
        <w:rPr>
          <w:rFonts w:ascii="黑体" w:hAnsi="仿宋_GB2312" w:eastAsia="黑体" w:cs="仿宋_GB2312"/>
          <w:kern w:val="2"/>
          <w:sz w:val="32"/>
          <w:szCs w:val="32"/>
          <w:lang w:val="en-US" w:eastAsia="zh-CN" w:bidi="ar-SA"/>
        </w:rPr>
      </w:pPr>
    </w:p>
    <w:p>
      <w:pPr>
        <w:tabs>
          <w:tab w:val="left" w:pos="286"/>
        </w:tabs>
        <w:jc w:val="left"/>
        <w:rPr>
          <w:rFonts w:hint="eastAsia" w:ascii="隶书" w:hAnsi="隶书" w:eastAsia="隶书" w:cs="隶书"/>
          <w:sz w:val="48"/>
          <w:szCs w:val="48"/>
          <w:lang w:eastAsia="zh-CN"/>
        </w:rPr>
      </w:pPr>
      <w:r>
        <w:rPr>
          <w:rFonts w:hint="eastAsia" w:ascii="黑体" w:hAnsi="仿宋_GB2312" w:eastAsia="黑体" w:cs="仿宋_GB2312"/>
          <w:kern w:val="2"/>
          <w:sz w:val="32"/>
          <w:szCs w:val="32"/>
          <w:lang w:val="en-US" w:eastAsia="zh-CN" w:bidi="ar-SA"/>
        </w:rPr>
        <w:tab/>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4985751"/>
    <w:rsid w:val="061516EF"/>
    <w:rsid w:val="08CF4B3E"/>
    <w:rsid w:val="09BB2134"/>
    <w:rsid w:val="11751280"/>
    <w:rsid w:val="12CB671C"/>
    <w:rsid w:val="13DA4090"/>
    <w:rsid w:val="14661166"/>
    <w:rsid w:val="15492582"/>
    <w:rsid w:val="16E214A9"/>
    <w:rsid w:val="1BB26345"/>
    <w:rsid w:val="1D375E40"/>
    <w:rsid w:val="1E7D3B34"/>
    <w:rsid w:val="1F1F0F93"/>
    <w:rsid w:val="209C4FF0"/>
    <w:rsid w:val="22080EE6"/>
    <w:rsid w:val="22576149"/>
    <w:rsid w:val="258F34D6"/>
    <w:rsid w:val="27A16F7C"/>
    <w:rsid w:val="2BA4769A"/>
    <w:rsid w:val="2CD06EF4"/>
    <w:rsid w:val="2FF950D9"/>
    <w:rsid w:val="30485E97"/>
    <w:rsid w:val="32EF40CE"/>
    <w:rsid w:val="34464ED0"/>
    <w:rsid w:val="35B66CB8"/>
    <w:rsid w:val="372974AC"/>
    <w:rsid w:val="374B0DD2"/>
    <w:rsid w:val="3CD4315F"/>
    <w:rsid w:val="3CE47224"/>
    <w:rsid w:val="3F287BFC"/>
    <w:rsid w:val="41A56C57"/>
    <w:rsid w:val="42271DDB"/>
    <w:rsid w:val="42845E93"/>
    <w:rsid w:val="452C588E"/>
    <w:rsid w:val="47CA283B"/>
    <w:rsid w:val="48036E61"/>
    <w:rsid w:val="48B52937"/>
    <w:rsid w:val="48EE3EF3"/>
    <w:rsid w:val="490A1B44"/>
    <w:rsid w:val="4A95625C"/>
    <w:rsid w:val="4C1E2F28"/>
    <w:rsid w:val="4CE812E8"/>
    <w:rsid w:val="4F2153AE"/>
    <w:rsid w:val="50E07A46"/>
    <w:rsid w:val="51AD42DE"/>
    <w:rsid w:val="53E9756D"/>
    <w:rsid w:val="5651051D"/>
    <w:rsid w:val="57BB5F84"/>
    <w:rsid w:val="57E961A8"/>
    <w:rsid w:val="581E77CF"/>
    <w:rsid w:val="58B06254"/>
    <w:rsid w:val="59E3092F"/>
    <w:rsid w:val="5ADC2402"/>
    <w:rsid w:val="5AF25131"/>
    <w:rsid w:val="5B39011D"/>
    <w:rsid w:val="5D394358"/>
    <w:rsid w:val="5D9F4273"/>
    <w:rsid w:val="5F3A0145"/>
    <w:rsid w:val="600176AC"/>
    <w:rsid w:val="612457AD"/>
    <w:rsid w:val="627358F6"/>
    <w:rsid w:val="6431638A"/>
    <w:rsid w:val="644502CB"/>
    <w:rsid w:val="664A46E0"/>
    <w:rsid w:val="674E08EC"/>
    <w:rsid w:val="6A2415C4"/>
    <w:rsid w:val="6B1A4A24"/>
    <w:rsid w:val="6C2F3976"/>
    <w:rsid w:val="6DEF1F4E"/>
    <w:rsid w:val="6EA970D1"/>
    <w:rsid w:val="704F44A3"/>
    <w:rsid w:val="737A5BE5"/>
    <w:rsid w:val="73F1196C"/>
    <w:rsid w:val="75531EF6"/>
    <w:rsid w:val="75D0003D"/>
    <w:rsid w:val="7645175D"/>
    <w:rsid w:val="779E3F57"/>
    <w:rsid w:val="794368A0"/>
    <w:rsid w:val="79960645"/>
    <w:rsid w:val="7CB67838"/>
    <w:rsid w:val="7D0D382E"/>
    <w:rsid w:val="7D1655BA"/>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character" w:styleId="6">
    <w:name w:val="page number"/>
    <w:basedOn w:val="5"/>
    <w:qFormat/>
    <w:uiPriority w:val="0"/>
  </w:style>
  <w:style w:type="character" w:customStyle="1" w:styleId="8">
    <w:name w:val="font31"/>
    <w:basedOn w:val="5"/>
    <w:qFormat/>
    <w:uiPriority w:val="0"/>
    <w:rPr>
      <w:rFonts w:ascii="Arial" w:hAnsi="Arial" w:cs="Arial"/>
      <w:color w:val="000000"/>
      <w:sz w:val="16"/>
      <w:szCs w:val="16"/>
      <w:u w:val="none"/>
    </w:rPr>
  </w:style>
  <w:style w:type="character" w:customStyle="1" w:styleId="9">
    <w:name w:val="font01"/>
    <w:basedOn w:val="5"/>
    <w:qFormat/>
    <w:uiPriority w:val="0"/>
    <w:rPr>
      <w:rFonts w:hint="default" w:ascii="Arial" w:hAnsi="Arial" w:cs="Arial"/>
      <w:color w:val="000000"/>
      <w:sz w:val="16"/>
      <w:szCs w:val="16"/>
      <w:u w:val="none"/>
    </w:rPr>
  </w:style>
  <w:style w:type="character" w:customStyle="1" w:styleId="10">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2019-02-12T09:36:49Z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