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安监局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安监局概况</w:t>
      </w:r>
    </w:p>
    <w:p>
      <w:pPr>
        <w:jc w:val="left"/>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主要职能</w:t>
      </w:r>
    </w:p>
    <w:p>
      <w:pPr>
        <w:jc w:val="left"/>
        <w:rPr>
          <w:rFonts w:hint="eastAsia" w:ascii="黑体" w:hAnsi="黑体" w:eastAsia="黑体" w:cs="黑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安监局2017年度部门决算情况说明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安监局概况</w:t>
      </w:r>
    </w:p>
    <w:p>
      <w:pPr>
        <w:numPr>
          <w:numId w:val="0"/>
        </w:numPr>
        <w:jc w:val="left"/>
        <w:rPr>
          <w:rFonts w:ascii="宋体" w:hAnsi="宋体" w:eastAsia="宋体" w:cs="宋体"/>
          <w:b/>
          <w:bCs/>
          <w:sz w:val="32"/>
          <w:szCs w:val="32"/>
        </w:rPr>
      </w:pPr>
    </w:p>
    <w:p>
      <w:pPr>
        <w:numPr>
          <w:ilvl w:val="0"/>
          <w:numId w:val="1"/>
        </w:numPr>
        <w:jc w:val="left"/>
        <w:rPr>
          <w:rFonts w:ascii="宋体" w:hAnsi="宋体" w:eastAsia="宋体" w:cs="宋体"/>
          <w:b/>
          <w:bCs/>
          <w:sz w:val="32"/>
          <w:szCs w:val="32"/>
        </w:rPr>
      </w:pPr>
      <w:r>
        <w:rPr>
          <w:rFonts w:hint="eastAsia" w:ascii="宋体" w:hAnsi="宋体" w:eastAsia="宋体" w:cs="宋体"/>
          <w:b/>
          <w:bCs/>
          <w:sz w:val="32"/>
          <w:szCs w:val="32"/>
        </w:rPr>
        <w:t>主要职能</w:t>
      </w:r>
    </w:p>
    <w:p>
      <w:pPr>
        <w:pStyle w:val="10"/>
        <w:ind w:left="420" w:firstLine="0" w:firstLineChars="0"/>
        <w:rPr>
          <w:rFonts w:ascii="仿宋_GB2312" w:eastAsia="仿宋_GB2312"/>
          <w:sz w:val="32"/>
          <w:szCs w:val="32"/>
        </w:rPr>
      </w:pPr>
      <w:r>
        <w:rPr>
          <w:rFonts w:hint="eastAsia" w:ascii="仿宋_GB2312" w:eastAsia="仿宋_GB2312"/>
          <w:sz w:val="32"/>
          <w:szCs w:val="32"/>
        </w:rPr>
        <w:t>①贯彻执行党和国家安全生产法律、法规和方针、政策，组织起草全区综合性安全生产规章草案和政策，拟订全区安全生产规划及工矿商贸行业安全生产规章草案、标准和规程并组织实施。</w:t>
      </w:r>
    </w:p>
    <w:p>
      <w:pPr>
        <w:pStyle w:val="10"/>
        <w:ind w:left="420" w:firstLine="0" w:firstLineChars="0"/>
        <w:rPr>
          <w:rFonts w:ascii="仿宋_GB2312" w:eastAsia="仿宋_GB2312"/>
          <w:sz w:val="32"/>
          <w:szCs w:val="32"/>
        </w:rPr>
      </w:pPr>
      <w:r>
        <w:rPr>
          <w:rFonts w:hint="eastAsia" w:ascii="仿宋_GB2312" w:eastAsia="仿宋_GB2312"/>
          <w:sz w:val="32"/>
          <w:szCs w:val="32"/>
        </w:rPr>
        <w:t>②依法行使综合监督管理职权，指导协调和监督检查有关部门和各乡、镇、办事处、集聚区的安全生产工作，定期分析和预测全区安全生产形势，研究、协调和解决安全生产中的重大问题，督促、指导落实安全生产责任制和安全生产责任追究制。</w:t>
      </w:r>
    </w:p>
    <w:p>
      <w:pPr>
        <w:pStyle w:val="10"/>
        <w:ind w:left="420" w:firstLine="0" w:firstLineChars="0"/>
        <w:rPr>
          <w:rFonts w:ascii="仿宋_GB2312" w:eastAsia="仿宋_GB2312"/>
          <w:sz w:val="32"/>
          <w:szCs w:val="32"/>
        </w:rPr>
      </w:pPr>
      <w:r>
        <w:rPr>
          <w:rFonts w:hint="eastAsia" w:ascii="仿宋_GB2312" w:eastAsia="仿宋_GB2312"/>
          <w:sz w:val="32"/>
          <w:szCs w:val="32"/>
        </w:rPr>
        <w:t>③按照“属地管理、分级负责、条块结合”的原则，依法监督检查区管工矿商贸生产经营单位贯彻执行安全生产法律法规情况、安全生产条件和有关设备（特种设备除外）、材料、劳动防护用品的安全管理工作以及事故隐患整改工作，依法查处不具备安全生产条件的工矿商贸生产经营单位。</w:t>
      </w:r>
    </w:p>
    <w:p>
      <w:pPr>
        <w:pStyle w:val="10"/>
        <w:ind w:left="420" w:firstLine="0" w:firstLineChars="0"/>
        <w:rPr>
          <w:rFonts w:ascii="仿宋_GB2312" w:eastAsia="仿宋_GB2312"/>
          <w:sz w:val="32"/>
          <w:szCs w:val="32"/>
        </w:rPr>
      </w:pPr>
      <w:r>
        <w:rPr>
          <w:rFonts w:hint="eastAsia" w:ascii="仿宋_GB2312" w:eastAsia="仿宋_GB2312"/>
          <w:sz w:val="32"/>
          <w:szCs w:val="32"/>
        </w:rPr>
        <w:t>④监督实施区管非煤矿山和危险化学品、烟花爆竹生产经营单位安全生产准入制度。</w:t>
      </w:r>
    </w:p>
    <w:p>
      <w:pPr>
        <w:pStyle w:val="10"/>
        <w:ind w:left="420" w:firstLine="0" w:firstLineChars="0"/>
        <w:rPr>
          <w:rFonts w:ascii="仿宋_GB2312" w:eastAsia="仿宋_GB2312"/>
          <w:sz w:val="32"/>
          <w:szCs w:val="32"/>
        </w:rPr>
      </w:pPr>
      <w:r>
        <w:rPr>
          <w:rFonts w:hint="eastAsia" w:ascii="仿宋_GB2312" w:eastAsia="仿宋_GB2312"/>
          <w:sz w:val="32"/>
          <w:szCs w:val="32"/>
        </w:rPr>
        <w:t>⑤做好工矿商贸作业场所职业卫生监督检查工作，组织查处职业危害事故和违法违规行为。</w:t>
      </w:r>
    </w:p>
    <w:p>
      <w:pPr>
        <w:pStyle w:val="10"/>
        <w:ind w:left="420" w:firstLine="0" w:firstLineChars="0"/>
        <w:rPr>
          <w:rFonts w:ascii="仿宋_GB2312" w:eastAsia="仿宋_GB2312"/>
          <w:sz w:val="32"/>
          <w:szCs w:val="32"/>
        </w:rPr>
      </w:pPr>
      <w:r>
        <w:rPr>
          <w:rFonts w:hint="eastAsia" w:ascii="仿宋_GB2312" w:eastAsia="仿宋_GB2312"/>
          <w:sz w:val="32"/>
          <w:szCs w:val="32"/>
        </w:rPr>
        <w:t>⑥负责配合政府做好安全生产应急救援工作，综合管理全区生产安全伤亡事故、安全生产和职业危害信息统计分析工作，依法组织、协调一般生产安全事故的调查处理工作并监督事故查处的落实情况，协助市政府调查处理较大以上事故。</w:t>
      </w:r>
    </w:p>
    <w:p>
      <w:pPr>
        <w:pStyle w:val="10"/>
        <w:ind w:left="420" w:firstLine="0" w:firstLineChars="0"/>
        <w:rPr>
          <w:rFonts w:ascii="仿宋_GB2312" w:eastAsia="仿宋_GB2312"/>
          <w:sz w:val="32"/>
          <w:szCs w:val="32"/>
        </w:rPr>
      </w:pPr>
      <w:r>
        <w:rPr>
          <w:rFonts w:hint="eastAsia" w:ascii="仿宋_GB2312" w:eastAsia="仿宋_GB2312"/>
          <w:sz w:val="32"/>
          <w:szCs w:val="32"/>
        </w:rPr>
        <w:t>⑦负责监督检查职责范围内的新建、改建、扩建工程项目的安全设施与主体工程同时设计、同时施工、同时投产使用情况。</w:t>
      </w:r>
    </w:p>
    <w:p>
      <w:pPr>
        <w:pStyle w:val="10"/>
        <w:ind w:left="420" w:firstLine="0" w:firstLineChars="0"/>
        <w:rPr>
          <w:rFonts w:ascii="仿宋_GB2312" w:eastAsia="仿宋_GB2312"/>
          <w:sz w:val="32"/>
          <w:szCs w:val="32"/>
        </w:rPr>
      </w:pPr>
      <w:r>
        <w:rPr>
          <w:rFonts w:hint="eastAsia" w:ascii="仿宋_GB2312" w:eastAsia="仿宋_GB2312"/>
          <w:sz w:val="32"/>
          <w:szCs w:val="32"/>
        </w:rPr>
        <w:t>⑧指导协调全区安全生产检测检验工作，监督管理安全生产社会中介机构和安全评价工作。</w:t>
      </w:r>
    </w:p>
    <w:p>
      <w:pPr>
        <w:pStyle w:val="10"/>
        <w:ind w:left="420" w:firstLine="0" w:firstLineChars="0"/>
        <w:rPr>
          <w:rFonts w:ascii="仿宋_GB2312" w:eastAsia="仿宋_GB2312"/>
          <w:sz w:val="32"/>
          <w:szCs w:val="32"/>
        </w:rPr>
      </w:pPr>
      <w:r>
        <w:rPr>
          <w:rFonts w:hint="eastAsia" w:ascii="仿宋_GB2312" w:eastAsia="仿宋_GB2312"/>
          <w:sz w:val="32"/>
          <w:szCs w:val="32"/>
        </w:rPr>
        <w:t>⑨组织、指导全区安全生产宣传教育和安全文化建设工作，负责安全生产监督管理人员安全培训、考核工作，依法监督特种作业人员执证上岗情况，监督检查工矿商贸生产经营单位安全培训工作。</w:t>
      </w:r>
    </w:p>
    <w:p>
      <w:pPr>
        <w:pStyle w:val="10"/>
        <w:ind w:left="420" w:firstLine="0" w:firstLineChars="0"/>
        <w:rPr>
          <w:rFonts w:ascii="仿宋_GB2312" w:eastAsia="仿宋_GB2312"/>
          <w:sz w:val="32"/>
          <w:szCs w:val="32"/>
        </w:rPr>
      </w:pPr>
      <w:r>
        <w:rPr>
          <w:rFonts w:hint="eastAsia" w:ascii="仿宋_GB2312" w:eastAsia="仿宋_GB2312"/>
          <w:sz w:val="32"/>
          <w:szCs w:val="32"/>
        </w:rPr>
        <w:t>⑩组织拟订全区安全科技规划，指导协调全区安全生产科学技术研究、科研成果申报、推广和技术示范工作。</w:t>
      </w:r>
    </w:p>
    <w:p>
      <w:pPr>
        <w:pStyle w:val="10"/>
        <w:ind w:left="420" w:firstLine="0" w:firstLineChars="0"/>
        <w:rPr>
          <w:rFonts w:ascii="仿宋_GB2312" w:eastAsia="仿宋_GB2312"/>
          <w:sz w:val="32"/>
          <w:szCs w:val="32"/>
        </w:rPr>
      </w:pPr>
      <w:r>
        <w:rPr>
          <w:rFonts w:hint="eastAsia" w:ascii="仿宋_GB2312" w:eastAsia="仿宋_GB2312"/>
          <w:sz w:val="32"/>
          <w:szCs w:val="32"/>
        </w:rPr>
        <w:t>⑾指导协调和监督监察全区安全生产行政执法工作。</w:t>
      </w:r>
    </w:p>
    <w:p>
      <w:pPr>
        <w:pStyle w:val="10"/>
        <w:ind w:left="420" w:firstLine="0" w:firstLineChars="0"/>
        <w:rPr>
          <w:rFonts w:ascii="仿宋_GB2312" w:eastAsia="仿宋_GB2312"/>
          <w:sz w:val="32"/>
          <w:szCs w:val="32"/>
        </w:rPr>
      </w:pPr>
      <w:r>
        <w:rPr>
          <w:rFonts w:hint="eastAsia" w:ascii="仿宋_GB2312" w:eastAsia="仿宋_GB2312"/>
          <w:sz w:val="32"/>
          <w:szCs w:val="32"/>
        </w:rPr>
        <w:t>⑿指导辖区注册安全工程师、注册助理安全工程师执业资格考试和注册管理工作。</w:t>
      </w:r>
    </w:p>
    <w:p>
      <w:pPr>
        <w:pStyle w:val="10"/>
        <w:ind w:left="420" w:firstLine="0" w:firstLineChars="0"/>
        <w:rPr>
          <w:rFonts w:ascii="仿宋_GB2312" w:eastAsia="仿宋_GB2312"/>
          <w:sz w:val="32"/>
          <w:szCs w:val="32"/>
        </w:rPr>
      </w:pPr>
      <w:r>
        <w:rPr>
          <w:rFonts w:hint="eastAsia" w:ascii="仿宋_GB2312" w:eastAsia="仿宋_GB2312"/>
          <w:sz w:val="32"/>
          <w:szCs w:val="32"/>
        </w:rPr>
        <w:t>⒀组织开展全区安全生产方面的对外交流与合作。</w:t>
      </w:r>
    </w:p>
    <w:p>
      <w:pPr>
        <w:pStyle w:val="10"/>
        <w:ind w:left="420" w:firstLine="0" w:firstLineChars="0"/>
        <w:rPr>
          <w:rFonts w:ascii="仿宋_GB2312" w:eastAsia="仿宋_GB2312"/>
          <w:sz w:val="32"/>
          <w:szCs w:val="32"/>
        </w:rPr>
      </w:pPr>
      <w:r>
        <w:rPr>
          <w:rFonts w:hint="eastAsia" w:ascii="仿宋_GB2312" w:eastAsia="仿宋_GB2312"/>
          <w:sz w:val="32"/>
          <w:szCs w:val="32"/>
        </w:rPr>
        <w:t>⒁承办区政府交办的其他事项。</w:t>
      </w:r>
    </w:p>
    <w:p>
      <w:pPr>
        <w:numPr>
          <w:ilvl w:val="0"/>
          <w:numId w:val="1"/>
        </w:numPr>
        <w:jc w:val="left"/>
        <w:rPr>
          <w:rFonts w:ascii="宋体" w:hAnsi="宋体" w:eastAsia="宋体" w:cs="宋体"/>
          <w:b/>
          <w:bCs/>
          <w:sz w:val="32"/>
          <w:szCs w:val="32"/>
        </w:rPr>
      </w:pPr>
      <w:r>
        <w:rPr>
          <w:rFonts w:hint="eastAsia" w:ascii="宋体" w:hAnsi="宋体" w:eastAsia="宋体" w:cs="宋体"/>
          <w:b/>
          <w:bCs/>
          <w:sz w:val="32"/>
          <w:szCs w:val="32"/>
        </w:rPr>
        <w:t>部门决算单位构成</w:t>
      </w:r>
    </w:p>
    <w:p>
      <w:pPr>
        <w:ind w:firstLine="640" w:firstLineChars="200"/>
        <w:rPr>
          <w:rFonts w:hint="eastAsia" w:ascii="仿宋_GB2312" w:eastAsia="仿宋_GB2312"/>
          <w:sz w:val="32"/>
          <w:szCs w:val="32"/>
        </w:rPr>
      </w:pPr>
      <w:r>
        <w:rPr>
          <w:rFonts w:hint="eastAsia" w:ascii="仿宋_GB2312" w:eastAsia="仿宋_GB2312"/>
          <w:sz w:val="32"/>
          <w:szCs w:val="32"/>
        </w:rPr>
        <w:t>单位机关内设6个职能科室</w:t>
      </w:r>
      <w:r>
        <w:rPr>
          <w:rFonts w:hint="eastAsia" w:ascii="仿宋_GB2312" w:eastAsia="仿宋_GB2312"/>
          <w:sz w:val="32"/>
          <w:szCs w:val="32"/>
          <w:lang w:eastAsia="zh-CN"/>
        </w:rPr>
        <w:t>（办公室、监管一股、监管二股、监管三股、职业健康股、监察室、法规协调股）</w:t>
      </w:r>
      <w:r>
        <w:rPr>
          <w:rFonts w:hint="eastAsia" w:ascii="仿宋_GB2312" w:eastAsia="仿宋_GB2312"/>
          <w:sz w:val="32"/>
          <w:szCs w:val="32"/>
        </w:rPr>
        <w:t>和2个二级归口预算单位</w:t>
      </w:r>
      <w:r>
        <w:rPr>
          <w:rFonts w:hint="eastAsia" w:ascii="仿宋_GB2312" w:eastAsia="仿宋_GB2312"/>
          <w:sz w:val="32"/>
          <w:szCs w:val="32"/>
          <w:lang w:eastAsia="zh-CN"/>
        </w:rPr>
        <w:t>（安全生产执法监察大队、安全生产应急救援中心）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人员编制数共计32人。其中行政17人，全供事业15人。实有在职人员数30人。其中行政15人，全供事业15人。</w:t>
      </w:r>
    </w:p>
    <w:p>
      <w:pPr>
        <w:ind w:firstLine="640" w:firstLineChars="200"/>
        <w:rPr>
          <w:rFonts w:hint="eastAsia" w:ascii="仿宋_GB2312" w:eastAsia="仿宋_GB2312"/>
          <w:sz w:val="32"/>
          <w:szCs w:val="32"/>
        </w:rPr>
      </w:pPr>
      <w:r>
        <w:rPr>
          <w:rFonts w:hint="eastAsia" w:eastAsia="仿宋_GB2312"/>
          <w:color w:val="000000"/>
          <w:sz w:val="32"/>
          <w:szCs w:val="32"/>
        </w:rPr>
        <w:t>纳入</w:t>
      </w:r>
      <w:r>
        <w:rPr>
          <w:rFonts w:hint="eastAsia" w:eastAsia="仿宋_GB2312"/>
          <w:color w:val="000000"/>
          <w:sz w:val="32"/>
          <w:szCs w:val="32"/>
          <w:lang w:eastAsia="zh-CN"/>
        </w:rPr>
        <w:t>区安监局</w:t>
      </w:r>
      <w:r>
        <w:rPr>
          <w:rFonts w:hint="eastAsia" w:eastAsia="仿宋_GB2312"/>
          <w:color w:val="000000"/>
          <w:sz w:val="32"/>
          <w:szCs w:val="32"/>
        </w:rPr>
        <w:t>201</w:t>
      </w:r>
      <w:r>
        <w:rPr>
          <w:rFonts w:hint="eastAsia" w:eastAsia="仿宋_GB2312"/>
          <w:color w:val="000000"/>
          <w:sz w:val="32"/>
          <w:szCs w:val="32"/>
          <w:lang w:val="en-US" w:eastAsia="zh-CN"/>
        </w:rPr>
        <w:t>7</w:t>
      </w:r>
      <w:r>
        <w:rPr>
          <w:rFonts w:hint="eastAsia" w:eastAsia="仿宋_GB2312"/>
          <w:color w:val="000000"/>
          <w:sz w:val="32"/>
          <w:szCs w:val="32"/>
        </w:rPr>
        <w:t>年度部门</w:t>
      </w:r>
      <w:r>
        <w:rPr>
          <w:rFonts w:hint="eastAsia" w:eastAsia="仿宋_GB2312"/>
          <w:color w:val="000000"/>
          <w:sz w:val="32"/>
          <w:szCs w:val="32"/>
          <w:lang w:eastAsia="zh-CN"/>
        </w:rPr>
        <w:t>决</w:t>
      </w:r>
      <w:r>
        <w:rPr>
          <w:rFonts w:hint="eastAsia" w:eastAsia="仿宋_GB2312"/>
          <w:color w:val="000000"/>
          <w:sz w:val="32"/>
          <w:szCs w:val="32"/>
        </w:rPr>
        <w:t>算编制范围包括本级决算和所属单位决算在内的汇总决算</w:t>
      </w:r>
      <w:r>
        <w:rPr>
          <w:rFonts w:hint="eastAsia" w:eastAsia="仿宋_GB2312"/>
          <w:color w:val="000000"/>
          <w:sz w:val="32"/>
          <w:szCs w:val="32"/>
          <w:lang w:eastAsia="zh-CN"/>
        </w:rPr>
        <w:t>。</w:t>
      </w:r>
    </w:p>
    <w:p>
      <w:pPr>
        <w:jc w:val="left"/>
        <w:rPr>
          <w:rFonts w:ascii="宋体" w:hAnsi="宋体" w:eastAsia="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安监局</w:t>
      </w:r>
    </w:p>
    <w:p>
      <w:pPr>
        <w:jc w:val="center"/>
        <w:rPr>
          <w:rFonts w:ascii="隶书" w:hAnsi="隶书" w:eastAsia="隶书" w:cs="隶书"/>
          <w:sz w:val="48"/>
          <w:szCs w:val="48"/>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2017年度收入总计356.8万元，支出总计356.8万元，与2016年相比，收、支总计各增加86.3万元，增长20%。</w:t>
      </w:r>
    </w:p>
    <w:p>
      <w:pPr>
        <w:adjustRightInd w:val="0"/>
        <w:snapToGrid w:val="0"/>
        <w:spacing w:line="360" w:lineRule="auto"/>
        <w:rPr>
          <w:rFonts w:ascii="仿宋_GB2312" w:hAnsi="宋体" w:eastAsia="仿宋_GB2312" w:cs="Courier New"/>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收入合计356.8万元，其中：财政拨款收入356.8万元，占100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2017年度支出合计356.8万元，其中：基本支出356.8万元，占100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2017年财政拨款收支总决算356.8万元。与2016年相比，财政拨款收、支总计各增加86.3万元，增长20%。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2017年一般公共预算财政拨款支出356.8万元，占支出合计的356.8%。与2016年相比，一般公共预算财政拨款支出增加86.3万元，增长20%。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2017年度一般公共预算财政拨款支出356.8万元，主要用于以下方面：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支出356.8万元，占100%；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2017年度一般公共预算财政拨款支出年初预算为356.8万元，支出决算为356.8万元，完成年初预算的100%。</w:t>
      </w:r>
    </w:p>
    <w:p>
      <w:pPr>
        <w:numPr>
          <w:ilvl w:val="0"/>
          <w:numId w:val="4"/>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年初预算为100.8万元，支出决算为100.8万元，完成年初预算的100%。</w:t>
      </w:r>
    </w:p>
    <w:p>
      <w:pPr>
        <w:numPr>
          <w:ilvl w:val="0"/>
          <w:numId w:val="4"/>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年初预算为0万元，支出决算为0万元，完成年初预算的0%。</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其他事项……</w:t>
      </w:r>
    </w:p>
    <w:p>
      <w:pPr>
        <w:adjustRightInd w:val="0"/>
        <w:snapToGrid w:val="0"/>
        <w:spacing w:line="360" w:lineRule="auto"/>
        <w:rPr>
          <w:rFonts w:ascii="楷体_GB2312" w:hAnsi="楷体_GB2312" w:eastAsia="楷体_GB2312" w:cs="楷体_GB2312"/>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2017年一般公共预算财政拨款基本支出356.8万元，其中：</w:t>
      </w:r>
      <w:r>
        <w:rPr>
          <w:rFonts w:hint="eastAsia" w:ascii="仿宋_GB2312" w:hAnsi="Times New Roman" w:eastAsia="仿宋_GB2312" w:cs="仿宋_GB2312"/>
          <w:bCs/>
          <w:spacing w:val="-1"/>
          <w:kern w:val="0"/>
          <w:sz w:val="32"/>
          <w:szCs w:val="32"/>
        </w:rPr>
        <w:t>人员经费256万元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主要包括：基本工资、津贴补贴、伙食补助费、绩效工资、养老保险缴费、医疗费、住房公积金；</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100.8万元</w:t>
      </w:r>
      <w:r>
        <w:rPr>
          <w:rFonts w:hint="eastAsia" w:ascii="仿宋_GB2312" w:hAnsi="宋体" w:eastAsia="仿宋_GB2312" w:cs="Courier New"/>
          <w:sz w:val="32"/>
          <w:szCs w:val="32"/>
        </w:rPr>
        <w:t>，主要包括：办公费、印刷费、水电费、差旅费、因公出国费、会议费、公务接待费、工会经费、车辆维护费、其他交通费用、其他商品和服务支出费用。</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rPr>
      </w:pPr>
      <w:r>
        <w:rPr>
          <w:rFonts w:hint="eastAsia" w:ascii="仿宋_GB2312" w:hAnsi="宋体" w:eastAsia="仿宋_GB2312" w:cs="Courier New"/>
          <w:sz w:val="32"/>
          <w:szCs w:val="32"/>
        </w:rPr>
        <w:t>2017年度“三公”经费财政拨款支出预算为4.4万元，支出决算为8.4万元，超预算的46%，其中：因公出国（境）费支出决算为5万元，超预算的46%；公务用车购置及运行费支出决算为2万元，完成预算的80%；公务接待费支出决算为1.4万元，完成预算的70%。2017年度“三公”经费支出决算数大于预算数的主要原因是：因公出差费用年初未纳入预算，</w:t>
      </w:r>
      <w:r>
        <w:rPr>
          <w:rFonts w:hint="eastAsia" w:ascii="??_GB2312" w:hAnsi="宋体" w:cs="Courier New"/>
          <w:sz w:val="32"/>
          <w:szCs w:val="32"/>
        </w:rPr>
        <w:t>主要领导临时接组织部要求出国培训，因此增加5</w:t>
      </w:r>
      <w:r>
        <w:rPr>
          <w:rFonts w:ascii="??_GB2312" w:hAnsi="宋体" w:eastAsia="Times New Roman" w:cs="Courier New"/>
          <w:sz w:val="32"/>
          <w:szCs w:val="32"/>
        </w:rPr>
        <w:t>万元</w:t>
      </w:r>
      <w:r>
        <w:rPr>
          <w:rFonts w:hint="eastAsia" w:ascii="??_GB2312" w:hAnsi="宋体" w:cs="Courier New"/>
          <w:sz w:val="32"/>
          <w:szCs w:val="32"/>
        </w:rPr>
        <w:t>。</w:t>
      </w:r>
      <w:r>
        <w:rPr>
          <w:rFonts w:hint="eastAsia" w:ascii="仿宋_GB2312" w:hAnsi="宋体" w:eastAsia="仿宋_GB2312" w:cs="Courier New"/>
          <w:sz w:val="32"/>
          <w:szCs w:val="32"/>
        </w:rPr>
        <w:t>2017年度“三公”经费财政拨款支出决算数比2016年增加4万元，增长46%，其中：因公出国（境）费支出决算增加5万元，增长46%；公务用车购置及运行费支出决算减少0.4万元，下降20%；公务接待费支出决算减少0.6万元，下降30%。因公出国（境）费支出增加的主要原因是：因公出差费用年初未纳入预算，</w:t>
      </w:r>
      <w:r>
        <w:rPr>
          <w:rFonts w:hint="eastAsia" w:ascii="??_GB2312" w:hAnsi="宋体" w:cs="Courier New"/>
          <w:sz w:val="32"/>
          <w:szCs w:val="32"/>
        </w:rPr>
        <w:t>主要领导临时接组织部要求出国培训，因此增加5</w:t>
      </w:r>
      <w:r>
        <w:rPr>
          <w:rFonts w:ascii="??_GB2312" w:hAnsi="宋体" w:eastAsia="Times New Roman" w:cs="Courier New"/>
          <w:sz w:val="32"/>
          <w:szCs w:val="32"/>
        </w:rPr>
        <w:t>万元</w:t>
      </w:r>
      <w:r>
        <w:rPr>
          <w:rFonts w:hint="eastAsia" w:ascii="??_GB2312" w:hAnsi="宋体" w:cs="Courier New"/>
          <w:sz w:val="32"/>
          <w:szCs w:val="32"/>
        </w:rPr>
        <w:t>。</w:t>
      </w:r>
      <w:r>
        <w:rPr>
          <w:rFonts w:hint="eastAsia" w:ascii="仿宋_GB2312" w:hAnsi="宋体" w:eastAsia="仿宋_GB2312" w:cs="Courier New"/>
          <w:sz w:val="32"/>
          <w:szCs w:val="32"/>
        </w:rPr>
        <w:t>；公务用车购置及运行费支出减少的主要原因是</w:t>
      </w:r>
      <w:r>
        <w:rPr>
          <w:rFonts w:ascii="??_GB2312" w:hAnsi="宋体" w:eastAsia="Times New Roman" w:cs="Courier New"/>
          <w:sz w:val="32"/>
          <w:szCs w:val="32"/>
        </w:rPr>
        <w:t>201</w:t>
      </w:r>
      <w:r>
        <w:rPr>
          <w:rFonts w:hint="eastAsia" w:ascii="??_GB2312" w:hAnsi="宋体" w:cs="Courier New"/>
          <w:sz w:val="32"/>
          <w:szCs w:val="32"/>
        </w:rPr>
        <w:t>7</w:t>
      </w:r>
      <w:r>
        <w:rPr>
          <w:rFonts w:ascii="??_GB2312" w:hAnsi="宋体" w:eastAsia="Times New Roman" w:cs="Courier New"/>
          <w:sz w:val="32"/>
          <w:szCs w:val="32"/>
        </w:rPr>
        <w:t>年单位严格执行公务用车改革制度，</w:t>
      </w:r>
      <w:r>
        <w:rPr>
          <w:rFonts w:hint="eastAsia" w:ascii="??_GB2312" w:hAnsi="宋体" w:cs="Courier New"/>
          <w:sz w:val="32"/>
          <w:szCs w:val="32"/>
        </w:rPr>
        <w:t>仅</w:t>
      </w:r>
      <w:r>
        <w:rPr>
          <w:rFonts w:ascii="??_GB2312" w:hAnsi="宋体" w:eastAsia="Times New Roman" w:cs="Courier New"/>
          <w:sz w:val="32"/>
          <w:szCs w:val="32"/>
        </w:rPr>
        <w:t>一辆</w:t>
      </w:r>
      <w:r>
        <w:rPr>
          <w:rFonts w:hint="eastAsia" w:ascii="??_GB2312" w:hAnsi="宋体" w:cs="Courier New"/>
          <w:sz w:val="32"/>
          <w:szCs w:val="32"/>
        </w:rPr>
        <w:t>执法用</w:t>
      </w:r>
      <w:r>
        <w:rPr>
          <w:rFonts w:ascii="??_GB2312" w:hAnsi="宋体" w:eastAsia="Times New Roman" w:cs="Courier New"/>
          <w:sz w:val="32"/>
          <w:szCs w:val="32"/>
        </w:rPr>
        <w:t>车，包含车辆</w:t>
      </w:r>
      <w:r>
        <w:rPr>
          <w:rFonts w:hint="eastAsia" w:ascii="??_GB2312" w:hAnsi="宋体" w:cs="Courier New"/>
          <w:sz w:val="32"/>
          <w:szCs w:val="32"/>
        </w:rPr>
        <w:t>保险、</w:t>
      </w:r>
      <w:r>
        <w:rPr>
          <w:rFonts w:ascii="??_GB2312" w:hAnsi="宋体" w:eastAsia="Times New Roman" w:cs="Courier New"/>
          <w:sz w:val="32"/>
          <w:szCs w:val="32"/>
        </w:rPr>
        <w:t>维修费和加油费</w:t>
      </w:r>
      <w:r>
        <w:rPr>
          <w:rFonts w:hint="eastAsia" w:ascii="仿宋_GB2312" w:hAnsi="宋体" w:eastAsia="仿宋_GB2312" w:cs="Courier New"/>
          <w:sz w:val="32"/>
          <w:szCs w:val="32"/>
        </w:rPr>
        <w:t>；公务接待费支出减少的主要原因是</w:t>
      </w:r>
      <w:r>
        <w:rPr>
          <w:rFonts w:ascii="??_GB2312" w:hAnsi="宋体" w:eastAsia="Times New Roman" w:cs="Courier New"/>
          <w:sz w:val="32"/>
          <w:szCs w:val="32"/>
        </w:rPr>
        <w:t>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_GB2312" w:hAnsi="宋体" w:eastAsia="Times New Roman" w:cs="Courier New"/>
          <w:sz w:val="32"/>
          <w:szCs w:val="32"/>
        </w:rPr>
        <w:t>201</w:t>
      </w:r>
      <w:r>
        <w:rPr>
          <w:rFonts w:hint="eastAsia" w:ascii="??_GB2312" w:hAnsi="宋体" w:cs="Courier New"/>
          <w:sz w:val="32"/>
          <w:szCs w:val="32"/>
        </w:rPr>
        <w:t>7</w:t>
      </w:r>
      <w:r>
        <w:rPr>
          <w:rFonts w:ascii="??_GB2312" w:hAnsi="宋体" w:eastAsia="Times New Roman" w:cs="Courier New"/>
          <w:sz w:val="32"/>
          <w:szCs w:val="32"/>
        </w:rPr>
        <w:t>年度“三公”经费财政拨款支出决算中，因公出国（境）费支出决算</w:t>
      </w:r>
      <w:r>
        <w:rPr>
          <w:rFonts w:hint="eastAsia" w:ascii="??_GB2312" w:hAnsi="宋体" w:cs="Courier New"/>
          <w:sz w:val="32"/>
          <w:szCs w:val="32"/>
        </w:rPr>
        <w:t>5</w:t>
      </w:r>
      <w:r>
        <w:rPr>
          <w:rFonts w:ascii="??_GB2312" w:hAnsi="宋体" w:eastAsia="Times New Roman" w:cs="Courier New"/>
          <w:sz w:val="32"/>
          <w:szCs w:val="32"/>
        </w:rPr>
        <w:t>万元，占</w:t>
      </w:r>
      <w:r>
        <w:rPr>
          <w:rFonts w:hint="eastAsia" w:ascii="??_GB2312" w:hAnsi="宋体" w:cs="Courier New"/>
          <w:sz w:val="32"/>
          <w:szCs w:val="32"/>
        </w:rPr>
        <w:t>70</w:t>
      </w:r>
      <w:r>
        <w:rPr>
          <w:rFonts w:ascii="??_GB2312" w:hAnsi="宋体" w:eastAsia="Times New Roman" w:cs="Courier New"/>
          <w:sz w:val="32"/>
          <w:szCs w:val="32"/>
        </w:rPr>
        <w:t xml:space="preserve"> %；公务用车购置及运行费支出决算</w:t>
      </w:r>
      <w:r>
        <w:rPr>
          <w:rFonts w:hint="eastAsia" w:ascii="??_GB2312" w:hAnsi="宋体" w:cs="Courier New"/>
          <w:sz w:val="32"/>
          <w:szCs w:val="32"/>
        </w:rPr>
        <w:t>2</w:t>
      </w:r>
      <w:r>
        <w:rPr>
          <w:rFonts w:ascii="??_GB2312" w:hAnsi="宋体" w:eastAsia="Times New Roman" w:cs="Courier New"/>
          <w:sz w:val="32"/>
          <w:szCs w:val="32"/>
        </w:rPr>
        <w:t>万元，占</w:t>
      </w:r>
      <w:r>
        <w:rPr>
          <w:rFonts w:hint="eastAsia" w:ascii="??_GB2312" w:hAnsi="宋体" w:cs="Courier New"/>
          <w:sz w:val="32"/>
          <w:szCs w:val="32"/>
        </w:rPr>
        <w:t>18</w:t>
      </w:r>
      <w:r>
        <w:rPr>
          <w:rFonts w:ascii="??_GB2312" w:hAnsi="宋体" w:eastAsia="Times New Roman" w:cs="Courier New"/>
          <w:sz w:val="32"/>
          <w:szCs w:val="32"/>
        </w:rPr>
        <w:t>%；公务接待费支出决算</w:t>
      </w:r>
      <w:r>
        <w:rPr>
          <w:rFonts w:hint="eastAsia" w:ascii="??_GB2312" w:hAnsi="宋体" w:cs="Courier New"/>
          <w:sz w:val="32"/>
          <w:szCs w:val="32"/>
        </w:rPr>
        <w:t>1.4</w:t>
      </w:r>
      <w:r>
        <w:rPr>
          <w:rFonts w:ascii="??_GB2312" w:hAnsi="宋体" w:eastAsia="Times New Roman" w:cs="Courier New"/>
          <w:sz w:val="32"/>
          <w:szCs w:val="32"/>
        </w:rPr>
        <w:t>万元，</w:t>
      </w:r>
      <w:r>
        <w:rPr>
          <w:rFonts w:hint="eastAsia" w:ascii="??_GB2312" w:hAnsi="宋体" w:cs="Courier New"/>
          <w:b/>
          <w:bCs/>
          <w:sz w:val="32"/>
          <w:szCs w:val="32"/>
        </w:rPr>
        <w:t>国内接待批数27次，接待人数240人</w:t>
      </w:r>
      <w:r>
        <w:rPr>
          <w:rFonts w:hint="eastAsia" w:ascii="??_GB2312" w:hAnsi="宋体" w:cs="Courier New"/>
          <w:sz w:val="32"/>
          <w:szCs w:val="32"/>
        </w:rPr>
        <w:t>，</w:t>
      </w:r>
      <w:r>
        <w:rPr>
          <w:rFonts w:ascii="??_GB2312" w:hAnsi="宋体" w:eastAsia="Times New Roman" w:cs="Courier New"/>
          <w:sz w:val="32"/>
          <w:szCs w:val="32"/>
        </w:rPr>
        <w:t>占</w:t>
      </w:r>
      <w:r>
        <w:rPr>
          <w:rFonts w:hint="eastAsia" w:ascii="??_GB2312" w:hAnsi="宋体" w:cs="Courier New"/>
          <w:sz w:val="32"/>
          <w:szCs w:val="32"/>
        </w:rPr>
        <w:t>12%</w:t>
      </w:r>
      <w:r>
        <w:rPr>
          <w:rFonts w:ascii="??_GB2312" w:hAnsi="宋体" w:eastAsia="Times New Roman" w:cs="Courier New"/>
          <w:sz w:val="32"/>
          <w:szCs w:val="32"/>
        </w:rPr>
        <w:t>。</w:t>
      </w:r>
      <w:r>
        <w:rPr>
          <w:rFonts w:hint="eastAsia" w:ascii="仿宋_GB2312" w:hAnsi="宋体" w:eastAsia="仿宋_GB2312" w:cs="Courier New"/>
          <w:sz w:val="32"/>
          <w:szCs w:val="32"/>
        </w:rPr>
        <w:t>具体情况如下：</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w:t>
      </w:r>
      <w:r>
        <w:rPr>
          <w:rFonts w:hint="eastAsia" w:ascii="??_GB2312" w:hAnsi="宋体" w:cs="Courier New"/>
          <w:sz w:val="32"/>
          <w:szCs w:val="32"/>
        </w:rPr>
        <w:t>5</w:t>
      </w:r>
      <w:r>
        <w:rPr>
          <w:rFonts w:ascii="??_GB2312" w:hAnsi="宋体" w:eastAsia="Times New Roman" w:cs="Courier New"/>
          <w:sz w:val="32"/>
          <w:szCs w:val="32"/>
        </w:rPr>
        <w:t>万元。全年安排机关单位因公出国（境）团组0个，累计</w:t>
      </w:r>
      <w:r>
        <w:rPr>
          <w:rFonts w:hint="eastAsia" w:ascii="??_GB2312" w:hAnsi="宋体" w:cs="Courier New"/>
          <w:sz w:val="32"/>
          <w:szCs w:val="32"/>
        </w:rPr>
        <w:t>1</w:t>
      </w:r>
      <w:r>
        <w:rPr>
          <w:rFonts w:ascii="??_GB2312" w:hAnsi="宋体" w:eastAsia="Times New Roman" w:cs="Courier New"/>
          <w:sz w:val="32"/>
          <w:szCs w:val="32"/>
        </w:rPr>
        <w:t>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w:t>
      </w:r>
      <w:r>
        <w:rPr>
          <w:rFonts w:hint="eastAsia" w:ascii="??_GB2312" w:hAnsi="宋体" w:cs="Courier New"/>
          <w:sz w:val="32"/>
          <w:szCs w:val="32"/>
        </w:rPr>
        <w:t>5</w:t>
      </w:r>
      <w:r>
        <w:rPr>
          <w:rFonts w:ascii="??_GB2312" w:hAnsi="宋体" w:eastAsia="Times New Roman" w:cs="Courier New"/>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支出0.7万元，主要用于会议室租赁、会议服务。</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支出2万元。其中：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支出2万元。</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r>
        <w:rPr>
          <w:rFonts w:hint="eastAsia" w:ascii="仿宋_GB2312" w:hAnsi="宋体" w:eastAsia="仿宋_GB2312" w:cs="Courier New"/>
          <w:sz w:val="32"/>
          <w:szCs w:val="32"/>
        </w:rPr>
        <w:t>。2017年期末，安监局机关开支财政拨款的公务用车保有辆为0辆、执法、执法专用车1辆。</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支出1.4万元。其中：</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支出为0万元。安监局2017年度共接待国（境）外来访团组0个、来访外宾0人次（不包括陪同人员）。</w:t>
      </w: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支出为1.4万元。主要用于</w:t>
      </w:r>
      <w:r>
        <w:rPr>
          <w:rFonts w:ascii="??_GB2312" w:hAnsi="宋体" w:eastAsia="Times New Roman" w:cs="Courier New"/>
          <w:sz w:val="32"/>
          <w:szCs w:val="32"/>
        </w:rPr>
        <w:t>区</w:t>
      </w:r>
      <w:r>
        <w:rPr>
          <w:rFonts w:hint="eastAsia" w:ascii="??_GB2312" w:hAnsi="宋体" w:cs="Courier New"/>
          <w:sz w:val="32"/>
          <w:szCs w:val="32"/>
        </w:rPr>
        <w:t>安监局</w:t>
      </w:r>
      <w:r>
        <w:rPr>
          <w:rFonts w:ascii="??_GB2312" w:hAnsi="宋体" w:eastAsia="Times New Roman" w:cs="Courier New"/>
          <w:sz w:val="32"/>
          <w:szCs w:val="32"/>
        </w:rPr>
        <w:t>日常的公务接待。</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根据财政预算管理要求，为做好预算绩效管理工作，安监局对2017年度一般公共预算项目支出全面开展绩效自评。其中，一级项目0个，二级项目0个，共涉及预算资金0万元。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本单位今年没有项目。</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w:t>
      </w:r>
      <w:r>
        <w:rPr>
          <w:rFonts w:hint="eastAsia" w:ascii="仿宋_GB2312" w:hAnsi="宋体" w:eastAsia="仿宋_GB2312" w:cs="Courier New"/>
          <w:color w:val="FF0000"/>
          <w:sz w:val="32"/>
          <w:szCs w:val="32"/>
        </w:rPr>
        <w:t xml:space="preserve">    </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pStyle w:val="10"/>
        <w:kinsoku w:val="0"/>
        <w:overflowPunct w:val="0"/>
        <w:autoSpaceDE w:val="0"/>
        <w:autoSpaceDN w:val="0"/>
        <w:adjustRightInd w:val="0"/>
        <w:snapToGrid w:val="0"/>
        <w:spacing w:line="360" w:lineRule="auto"/>
        <w:ind w:firstLine="640"/>
        <w:rPr>
          <w:rFonts w:ascii="??_GB2312" w:hAnsi="宋体" w:cs="Courier New"/>
          <w:sz w:val="32"/>
          <w:szCs w:val="32"/>
        </w:rPr>
      </w:pPr>
      <w:r>
        <w:rPr>
          <w:rFonts w:ascii="??_GB2312" w:hAnsi="宋体" w:eastAsia="Times New Roman" w:cs="Courier New"/>
          <w:sz w:val="32"/>
          <w:szCs w:val="32"/>
        </w:rPr>
        <w:t>201</w:t>
      </w:r>
      <w:r>
        <w:rPr>
          <w:rFonts w:hint="eastAsia" w:ascii="??_GB2312" w:hAnsi="宋体" w:cs="Courier New"/>
          <w:sz w:val="32"/>
          <w:szCs w:val="32"/>
        </w:rPr>
        <w:t>7</w:t>
      </w:r>
      <w:r>
        <w:rPr>
          <w:rFonts w:ascii="??_GB2312" w:hAnsi="宋体" w:eastAsia="Times New Roman" w:cs="Courier New"/>
          <w:sz w:val="32"/>
          <w:szCs w:val="32"/>
        </w:rPr>
        <w:t>年度机关运行经费支出</w:t>
      </w:r>
      <w:r>
        <w:rPr>
          <w:rFonts w:hint="eastAsia" w:ascii="??_GB2312" w:hAnsi="宋体" w:cs="Courier New"/>
          <w:sz w:val="32"/>
          <w:szCs w:val="32"/>
        </w:rPr>
        <w:t>100.8</w:t>
      </w:r>
      <w:r>
        <w:rPr>
          <w:rFonts w:ascii="??_GB2312" w:hAnsi="宋体" w:eastAsia="Times New Roman" w:cs="Courier New"/>
          <w:sz w:val="32"/>
          <w:szCs w:val="32"/>
        </w:rPr>
        <w:t>万元，比201</w:t>
      </w:r>
      <w:r>
        <w:rPr>
          <w:rFonts w:hint="eastAsia" w:ascii="??_GB2312" w:hAnsi="宋体" w:cs="Courier New"/>
          <w:sz w:val="32"/>
          <w:szCs w:val="32"/>
        </w:rPr>
        <w:t>6</w:t>
      </w:r>
      <w:r>
        <w:rPr>
          <w:rFonts w:ascii="??_GB2312" w:hAnsi="宋体" w:eastAsia="Times New Roman" w:cs="Courier New"/>
          <w:sz w:val="32"/>
          <w:szCs w:val="32"/>
        </w:rPr>
        <w:t>年</w:t>
      </w:r>
      <w:r>
        <w:rPr>
          <w:rFonts w:hint="eastAsia" w:ascii="??_GB2312" w:hAnsi="宋体" w:cs="Courier New"/>
          <w:sz w:val="32"/>
          <w:szCs w:val="32"/>
        </w:rPr>
        <w:t>增加30</w:t>
      </w:r>
      <w:r>
        <w:rPr>
          <w:rFonts w:ascii="??_GB2312" w:hAnsi="宋体" w:eastAsia="Times New Roman" w:cs="Courier New"/>
          <w:sz w:val="32"/>
          <w:szCs w:val="32"/>
        </w:rPr>
        <w:t>万元，</w:t>
      </w:r>
      <w:r>
        <w:rPr>
          <w:rFonts w:hint="eastAsia" w:ascii="??_GB2312" w:hAnsi="宋体" w:cs="Courier New"/>
          <w:sz w:val="32"/>
          <w:szCs w:val="32"/>
        </w:rPr>
        <w:t>增加18</w:t>
      </w:r>
      <w:r>
        <w:rPr>
          <w:rFonts w:ascii="??_GB2312" w:hAnsi="宋体" w:eastAsia="Times New Roman" w:cs="Courier New"/>
          <w:sz w:val="32"/>
          <w:szCs w:val="32"/>
        </w:rPr>
        <w:t>%</w:t>
      </w:r>
      <w:r>
        <w:rPr>
          <w:rFonts w:hint="eastAsia" w:ascii="??_GB2312" w:hAnsi="宋体" w:cs="Courier New"/>
          <w:sz w:val="32"/>
          <w:szCs w:val="32"/>
        </w:rPr>
        <w:t>，主要原因增加行政人员车补。</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7</w:t>
      </w:r>
      <w:r>
        <w:rPr>
          <w:rFonts w:ascii="??_GB2312" w:hAnsi="宋体" w:eastAsia="Times New Roman" w:cs="Courier New"/>
          <w:sz w:val="32"/>
          <w:szCs w:val="32"/>
        </w:rPr>
        <w:t>年度政府采购支出总额0</w:t>
      </w:r>
      <w:r>
        <w:rPr>
          <w:rFonts w:hint="eastAsia" w:ascii="??_GB2312" w:hAnsi="宋体" w:cs="Courier New"/>
          <w:sz w:val="32"/>
          <w:szCs w:val="32"/>
        </w:rPr>
        <w:t>.1</w:t>
      </w:r>
      <w:r>
        <w:rPr>
          <w:rFonts w:ascii="??_GB2312" w:hAnsi="宋体" w:eastAsia="Times New Roman" w:cs="Courier New"/>
          <w:sz w:val="32"/>
          <w:szCs w:val="32"/>
        </w:rPr>
        <w:t>万元，其中：政府采购货物支出0</w:t>
      </w:r>
      <w:r>
        <w:rPr>
          <w:rFonts w:hint="eastAsia" w:ascii="??_GB2312" w:hAnsi="宋体" w:cs="Courier New"/>
          <w:sz w:val="32"/>
          <w:szCs w:val="32"/>
        </w:rPr>
        <w:t>.1</w:t>
      </w:r>
      <w:r>
        <w:rPr>
          <w:rFonts w:ascii="??_GB2312" w:hAnsi="宋体" w:eastAsia="Times New Roman" w:cs="Courier New"/>
          <w:sz w:val="32"/>
          <w:szCs w:val="32"/>
        </w:rPr>
        <w:t>万元，政府采购工程支出0万元，政府采购服务支出0万元。授予中小企业合同金额0万元，占政府采购支出总额的</w:t>
      </w:r>
      <w:r>
        <w:rPr>
          <w:rFonts w:hint="eastAsia" w:ascii="??_GB2312" w:hAnsi="宋体" w:cs="Courier New"/>
          <w:sz w:val="32"/>
          <w:szCs w:val="32"/>
        </w:rPr>
        <w:t>10</w:t>
      </w:r>
      <w:r>
        <w:rPr>
          <w:rFonts w:ascii="??_GB2312" w:hAnsi="宋体" w:eastAsia="Times New Roman" w:cs="Courier New"/>
          <w:sz w:val="32"/>
          <w:szCs w:val="32"/>
        </w:rPr>
        <w:t>%，其中：授予小微企业合同金额0万元，占政府采购支出总额的0%。</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安监局共有车辆1辆，其中：省级领导干部用车0辆、一般公务用车0辆、一般执法执勤用车1辆、特种专业技术用车0辆，其他用车0辆0；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是指ＸＸ厅（局）用于保障机构正常运行、开展日常工作的基本支出。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napToGrid w:val="0"/>
        <w:ind w:right="100"/>
        <w:rPr>
          <w:rFonts w:ascii="隶书" w:hAnsi="隶书" w:eastAsia="隶书" w:cs="隶书"/>
          <w:color w:val="000000" w:themeColor="text1"/>
          <w:sz w:val="48"/>
          <w:szCs w:val="48"/>
        </w:rPr>
      </w:pPr>
    </w:p>
    <w:p>
      <w:pPr>
        <w:widowControl/>
        <w:adjustRightInd w:val="0"/>
        <w:snapToGrid w:val="0"/>
        <w:ind w:right="100"/>
        <w:jc w:val="left"/>
        <w:rPr>
          <w:rFonts w:ascii="隶书" w:hAnsi="隶书" w:eastAsia="隶书" w:cs="隶书"/>
          <w:sz w:val="48"/>
          <w:szCs w:val="48"/>
        </w:rPr>
      </w:pPr>
    </w:p>
    <w:p>
      <w:pPr>
        <w:widowControl/>
        <w:adjustRightInd w:val="0"/>
        <w:snapToGrid w:val="0"/>
        <w:ind w:right="100"/>
        <w:jc w:val="left"/>
        <w:rPr>
          <w:rFonts w:ascii="黑体" w:hAnsi="黑体" w:eastAsia="黑体"/>
          <w:sz w:val="32"/>
          <w:szCs w:val="32"/>
        </w:r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547"/>
        <w:gridCol w:w="353"/>
        <w:gridCol w:w="141"/>
        <w:gridCol w:w="97"/>
        <w:gridCol w:w="902"/>
        <w:gridCol w:w="236"/>
        <w:gridCol w:w="587"/>
        <w:gridCol w:w="176"/>
        <w:gridCol w:w="375"/>
        <w:gridCol w:w="624"/>
        <w:gridCol w:w="514"/>
        <w:gridCol w:w="160"/>
        <w:gridCol w:w="325"/>
        <w:gridCol w:w="68"/>
        <w:gridCol w:w="388"/>
        <w:gridCol w:w="197"/>
        <w:gridCol w:w="208"/>
        <w:gridCol w:w="138"/>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23"/>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2899" w:type="dxa"/>
            <w:gridSpan w:val="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353" w:type="dxa"/>
            <w:vAlign w:val="center"/>
          </w:tcPr>
          <w:p>
            <w:pPr>
              <w:rPr>
                <w:rFonts w:ascii="宋体" w:hAnsi="宋体" w:eastAsia="宋体" w:cs="宋体"/>
                <w:color w:val="000000"/>
                <w:sz w:val="16"/>
                <w:szCs w:val="16"/>
              </w:rPr>
            </w:pPr>
          </w:p>
        </w:tc>
        <w:tc>
          <w:tcPr>
            <w:tcW w:w="1963" w:type="dxa"/>
            <w:gridSpan w:val="5"/>
            <w:vAlign w:val="center"/>
          </w:tcPr>
          <w:p>
            <w:pPr>
              <w:rPr>
                <w:rFonts w:ascii="宋体" w:hAnsi="宋体" w:eastAsia="宋体" w:cs="宋体"/>
                <w:color w:val="000000"/>
                <w:sz w:val="16"/>
                <w:szCs w:val="16"/>
              </w:rPr>
            </w:pPr>
          </w:p>
        </w:tc>
        <w:tc>
          <w:tcPr>
            <w:tcW w:w="1849" w:type="dxa"/>
            <w:gridSpan w:val="5"/>
            <w:vAlign w:val="center"/>
          </w:tcPr>
          <w:p>
            <w:pPr>
              <w:rPr>
                <w:rFonts w:ascii="宋体" w:hAnsi="宋体" w:eastAsia="宋体" w:cs="宋体"/>
                <w:color w:val="000000"/>
                <w:sz w:val="16"/>
                <w:szCs w:val="16"/>
              </w:rPr>
            </w:pPr>
          </w:p>
        </w:tc>
        <w:tc>
          <w:tcPr>
            <w:tcW w:w="393" w:type="dxa"/>
            <w:gridSpan w:val="2"/>
            <w:vAlign w:val="center"/>
          </w:tcPr>
          <w:p>
            <w:pPr>
              <w:rPr>
                <w:rFonts w:ascii="宋体" w:hAnsi="宋体" w:eastAsia="宋体" w:cs="宋体"/>
                <w:color w:val="000000"/>
                <w:sz w:val="16"/>
                <w:szCs w:val="16"/>
              </w:rPr>
            </w:pPr>
          </w:p>
        </w:tc>
        <w:tc>
          <w:tcPr>
            <w:tcW w:w="2863" w:type="dxa"/>
            <w:gridSpan w:val="6"/>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Layout w:type="fixed"/>
          <w:tblCellMar>
            <w:top w:w="15" w:type="dxa"/>
            <w:left w:w="15" w:type="dxa"/>
            <w:bottom w:w="15" w:type="dxa"/>
            <w:right w:w="15" w:type="dxa"/>
          </w:tblCellMar>
        </w:tblPrEx>
        <w:trPr>
          <w:trHeight w:val="315" w:hRule="atLeast"/>
        </w:trPr>
        <w:tc>
          <w:tcPr>
            <w:tcW w:w="2899" w:type="dxa"/>
            <w:gridSpan w:val="4"/>
            <w:vAlign w:val="center"/>
          </w:tcPr>
          <w:p>
            <w:pPr>
              <w:rPr>
                <w:rFonts w:ascii="宋体" w:hAnsi="宋体" w:eastAsia="宋体" w:cs="宋体"/>
                <w:color w:val="000000"/>
                <w:sz w:val="16"/>
                <w:szCs w:val="16"/>
              </w:rPr>
            </w:pPr>
          </w:p>
        </w:tc>
        <w:tc>
          <w:tcPr>
            <w:tcW w:w="353" w:type="dxa"/>
            <w:vAlign w:val="center"/>
          </w:tcPr>
          <w:p>
            <w:pPr>
              <w:rPr>
                <w:rFonts w:ascii="宋体" w:hAnsi="宋体" w:eastAsia="宋体" w:cs="宋体"/>
                <w:color w:val="000000"/>
                <w:sz w:val="16"/>
                <w:szCs w:val="16"/>
              </w:rPr>
            </w:pPr>
          </w:p>
        </w:tc>
        <w:tc>
          <w:tcPr>
            <w:tcW w:w="1963" w:type="dxa"/>
            <w:gridSpan w:val="5"/>
            <w:vAlign w:val="center"/>
          </w:tcPr>
          <w:p>
            <w:pPr>
              <w:rPr>
                <w:rFonts w:ascii="宋体" w:hAnsi="宋体" w:eastAsia="宋体" w:cs="宋体"/>
                <w:color w:val="000000"/>
                <w:sz w:val="16"/>
                <w:szCs w:val="16"/>
              </w:rPr>
            </w:pPr>
          </w:p>
        </w:tc>
        <w:tc>
          <w:tcPr>
            <w:tcW w:w="1849" w:type="dxa"/>
            <w:gridSpan w:val="5"/>
            <w:vAlign w:val="center"/>
          </w:tcPr>
          <w:p>
            <w:pPr>
              <w:rPr>
                <w:rFonts w:ascii="宋体" w:hAnsi="宋体" w:eastAsia="宋体" w:cs="宋体"/>
                <w:color w:val="000000"/>
                <w:sz w:val="16"/>
                <w:szCs w:val="16"/>
              </w:rPr>
            </w:pPr>
          </w:p>
        </w:tc>
        <w:tc>
          <w:tcPr>
            <w:tcW w:w="393" w:type="dxa"/>
            <w:gridSpan w:val="2"/>
            <w:vAlign w:val="center"/>
          </w:tcPr>
          <w:p>
            <w:pPr>
              <w:rPr>
                <w:rFonts w:ascii="宋体" w:hAnsi="宋体" w:eastAsia="宋体" w:cs="宋体"/>
                <w:color w:val="000000"/>
                <w:sz w:val="16"/>
                <w:szCs w:val="16"/>
              </w:rPr>
            </w:pPr>
          </w:p>
        </w:tc>
        <w:tc>
          <w:tcPr>
            <w:tcW w:w="2863" w:type="dxa"/>
            <w:gridSpan w:val="6"/>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10"/>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105" w:type="dxa"/>
            <w:gridSpan w:val="1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356.8</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wordWrap w:val="0"/>
              <w:jc w:val="right"/>
              <w:textAlignment w:val="center"/>
              <w:rPr>
                <w:rFonts w:ascii="宋体" w:cs="宋体"/>
                <w:color w:val="000000"/>
                <w:sz w:val="16"/>
                <w:szCs w:val="16"/>
              </w:rPr>
            </w:pPr>
            <w:r>
              <w:rPr>
                <w:rFonts w:hint="eastAsia" w:ascii="宋体" w:cs="宋体"/>
                <w:color w:val="000000"/>
                <w:sz w:val="16"/>
                <w:szCs w:val="16"/>
              </w:rPr>
              <w:t xml:space="preserve">34.4 </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tabs>
                <w:tab w:val="center" w:pos="1020"/>
                <w:tab w:val="right" w:pos="2160"/>
              </w:tabs>
              <w:jc w:val="left"/>
              <w:textAlignment w:val="center"/>
              <w:rPr>
                <w:rFonts w:ascii="宋体" w:cs="宋体"/>
                <w:color w:val="000000"/>
                <w:sz w:val="16"/>
                <w:szCs w:val="16"/>
              </w:rPr>
            </w:pPr>
            <w:r>
              <w:rPr>
                <w:rFonts w:hint="eastAsia" w:ascii="宋体" w:cs="宋体"/>
                <w:color w:val="000000"/>
                <w:sz w:val="16"/>
                <w:szCs w:val="16"/>
              </w:rPr>
              <w:tab/>
            </w:r>
            <w:r>
              <w:rPr>
                <w:rFonts w:hint="eastAsia" w:ascii="宋体" w:cs="宋体"/>
                <w:color w:val="000000"/>
                <w:sz w:val="16"/>
                <w:szCs w:val="16"/>
              </w:rPr>
              <w:tab/>
            </w:r>
            <w:r>
              <w:rPr>
                <w:rFonts w:hint="eastAsia" w:ascii="宋体" w:cs="宋体"/>
                <w:color w:val="000000"/>
                <w:sz w:val="16"/>
                <w:szCs w:val="16"/>
              </w:rPr>
              <w:t>12.11</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292.1</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18.2</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24</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356.8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52</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sz w:val="16"/>
                <w:szCs w:val="16"/>
              </w:rPr>
              <w:t>356.8</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356.8</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 </w:t>
            </w: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963" w:type="dxa"/>
            <w:gridSpan w:val="5"/>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630" w:type="dxa"/>
            <w:gridSpan w:val="8"/>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07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gridSpan w:val="4"/>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28</w:t>
            </w:r>
          </w:p>
        </w:tc>
        <w:tc>
          <w:tcPr>
            <w:tcW w:w="1963" w:type="dxa"/>
            <w:gridSpan w:val="5"/>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356.8 </w:t>
            </w:r>
          </w:p>
        </w:tc>
        <w:tc>
          <w:tcPr>
            <w:tcW w:w="2630"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56</w:t>
            </w:r>
          </w:p>
        </w:tc>
        <w:tc>
          <w:tcPr>
            <w:tcW w:w="2070" w:type="dxa"/>
            <w:gridSpan w:val="3"/>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hAnsi="宋体" w:cs="宋体"/>
                <w:color w:val="000000"/>
                <w:kern w:val="0"/>
                <w:sz w:val="16"/>
                <w:szCs w:val="16"/>
              </w:rPr>
              <w:t>356.8</w:t>
            </w:r>
          </w:p>
        </w:tc>
      </w:tr>
      <w:tr>
        <w:tblPrEx>
          <w:tblLayout w:type="fixed"/>
          <w:tblCellMar>
            <w:top w:w="15" w:type="dxa"/>
            <w:left w:w="15" w:type="dxa"/>
            <w:bottom w:w="15" w:type="dxa"/>
            <w:right w:w="15" w:type="dxa"/>
          </w:tblCellMar>
        </w:tblPrEx>
        <w:trPr>
          <w:trHeight w:val="555" w:hRule="atLeast"/>
        </w:trPr>
        <w:tc>
          <w:tcPr>
            <w:tcW w:w="10320" w:type="dxa"/>
            <w:gridSpan w:val="2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r>
        <w:tblPrEx>
          <w:tblLayout w:type="fixed"/>
          <w:tblCellMar>
            <w:top w:w="15" w:type="dxa"/>
            <w:left w:w="15" w:type="dxa"/>
            <w:bottom w:w="15" w:type="dxa"/>
            <w:right w:w="15" w:type="dxa"/>
          </w:tblCellMar>
        </w:tblPrEx>
        <w:trPr>
          <w:trHeight w:val="375" w:hRule="atLeast"/>
        </w:trPr>
        <w:tc>
          <w:tcPr>
            <w:tcW w:w="10320" w:type="dxa"/>
            <w:gridSpan w:val="23"/>
            <w:vAlign w:val="center"/>
          </w:tcPr>
          <w:p>
            <w:pPr>
              <w:widowControl/>
              <w:jc w:val="center"/>
              <w:textAlignment w:val="center"/>
              <w:rPr>
                <w:rFonts w:ascii="黑体" w:hAnsi="宋体" w:eastAsia="黑体" w:cs="黑体"/>
                <w:color w:val="000000"/>
                <w:kern w:val="0"/>
                <w:sz w:val="28"/>
                <w:szCs w:val="28"/>
              </w:rPr>
            </w:pPr>
          </w:p>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hAnsi="宋体" w:eastAsia="宋体" w:cs="宋体"/>
                <w:color w:val="000000"/>
                <w:sz w:val="16"/>
                <w:szCs w:val="16"/>
              </w:rPr>
            </w:pPr>
          </w:p>
        </w:tc>
        <w:tc>
          <w:tcPr>
            <w:tcW w:w="709" w:type="dxa"/>
            <w:vAlign w:val="center"/>
          </w:tcPr>
          <w:p>
            <w:pPr>
              <w:rPr>
                <w:rFonts w:ascii="宋体" w:hAnsi="宋体" w:eastAsia="宋体" w:cs="宋体"/>
                <w:color w:val="000000"/>
                <w:sz w:val="16"/>
                <w:szCs w:val="16"/>
              </w:rPr>
            </w:pPr>
          </w:p>
        </w:tc>
        <w:tc>
          <w:tcPr>
            <w:tcW w:w="1041"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5"/>
            <w:vAlign w:val="center"/>
          </w:tcPr>
          <w:p>
            <w:pPr>
              <w:rPr>
                <w:rFonts w:ascii="宋体" w:hAnsi="宋体" w:eastAsia="宋体" w:cs="宋体"/>
                <w:color w:val="000000"/>
                <w:sz w:val="16"/>
                <w:szCs w:val="16"/>
              </w:rPr>
            </w:pPr>
          </w:p>
        </w:tc>
        <w:tc>
          <w:tcPr>
            <w:tcW w:w="193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hAnsi="宋体" w:eastAsia="宋体" w:cs="宋体"/>
                <w:color w:val="000000"/>
                <w:sz w:val="16"/>
                <w:szCs w:val="16"/>
              </w:rPr>
            </w:pPr>
          </w:p>
        </w:tc>
        <w:tc>
          <w:tcPr>
            <w:tcW w:w="709" w:type="dxa"/>
            <w:vAlign w:val="center"/>
          </w:tcPr>
          <w:p>
            <w:pPr>
              <w:rPr>
                <w:rFonts w:ascii="宋体" w:hAnsi="宋体" w:eastAsia="宋体" w:cs="宋体"/>
                <w:color w:val="000000"/>
                <w:sz w:val="16"/>
                <w:szCs w:val="16"/>
              </w:rPr>
            </w:pPr>
          </w:p>
        </w:tc>
        <w:tc>
          <w:tcPr>
            <w:tcW w:w="1041"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3"/>
            <w:vAlign w:val="center"/>
          </w:tcPr>
          <w:p>
            <w:pPr>
              <w:rPr>
                <w:rFonts w:ascii="宋体" w:hAnsi="宋体" w:eastAsia="宋体" w:cs="宋体"/>
                <w:color w:val="000000"/>
                <w:sz w:val="16"/>
                <w:szCs w:val="16"/>
              </w:rPr>
            </w:pPr>
          </w:p>
        </w:tc>
        <w:tc>
          <w:tcPr>
            <w:tcW w:w="999" w:type="dxa"/>
            <w:gridSpan w:val="5"/>
            <w:vAlign w:val="center"/>
          </w:tcPr>
          <w:p>
            <w:pPr>
              <w:rPr>
                <w:rFonts w:ascii="宋体" w:hAnsi="宋体" w:eastAsia="宋体" w:cs="宋体"/>
                <w:color w:val="000000"/>
                <w:sz w:val="16"/>
                <w:szCs w:val="16"/>
              </w:rPr>
            </w:pPr>
          </w:p>
        </w:tc>
        <w:tc>
          <w:tcPr>
            <w:tcW w:w="193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1138"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1138" w:type="dxa"/>
            <w:gridSpan w:val="5"/>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1138"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38"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5"/>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38"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38"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38"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5"/>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215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资源勘探信息等支出</w:t>
            </w:r>
          </w:p>
        </w:tc>
        <w:tc>
          <w:tcPr>
            <w:tcW w:w="1138"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5"/>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21506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安全生产监管</w:t>
            </w:r>
          </w:p>
        </w:tc>
        <w:tc>
          <w:tcPr>
            <w:tcW w:w="1138"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5"/>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2150601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1138" w:type="dxa"/>
            <w:gridSpan w:val="4"/>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5"/>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38" w:type="dxa"/>
            <w:gridSpan w:val="3"/>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38"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5"/>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38"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2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hAnsi="宋体" w:eastAsia="宋体" w:cs="宋体"/>
                <w:color w:val="000000"/>
                <w:sz w:val="16"/>
                <w:szCs w:val="16"/>
              </w:rPr>
            </w:pPr>
          </w:p>
        </w:tc>
        <w:tc>
          <w:tcPr>
            <w:tcW w:w="1519" w:type="dxa"/>
            <w:vAlign w:val="center"/>
          </w:tcPr>
          <w:p>
            <w:pPr>
              <w:rPr>
                <w:rFonts w:ascii="宋体" w:hAnsi="宋体" w:eastAsia="宋体" w:cs="宋体"/>
                <w:color w:val="000000"/>
                <w:sz w:val="16"/>
                <w:szCs w:val="16"/>
              </w:rPr>
            </w:pPr>
          </w:p>
        </w:tc>
        <w:tc>
          <w:tcPr>
            <w:tcW w:w="116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1947"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hAnsi="宋体" w:eastAsia="宋体" w:cs="宋体"/>
                <w:color w:val="000000"/>
                <w:sz w:val="16"/>
                <w:szCs w:val="16"/>
              </w:rPr>
            </w:pPr>
          </w:p>
        </w:tc>
        <w:tc>
          <w:tcPr>
            <w:tcW w:w="1519" w:type="dxa"/>
            <w:vAlign w:val="center"/>
          </w:tcPr>
          <w:p>
            <w:pPr>
              <w:rPr>
                <w:rFonts w:ascii="宋体" w:hAnsi="宋体" w:eastAsia="宋体" w:cs="宋体"/>
                <w:color w:val="000000"/>
                <w:sz w:val="16"/>
                <w:szCs w:val="16"/>
              </w:rPr>
            </w:pPr>
          </w:p>
        </w:tc>
        <w:tc>
          <w:tcPr>
            <w:tcW w:w="116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1947"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215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资源勘探信息等支出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21506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安全生产监管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2150601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356.8</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51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184"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102" w:type="dxa"/>
            <w:gridSpan w:val="2"/>
            <w:vAlign w:val="center"/>
          </w:tcPr>
          <w:p>
            <w:pPr>
              <w:rPr>
                <w:rFonts w:ascii="宋体" w:hAnsi="宋体" w:eastAsia="宋体" w:cs="宋体"/>
                <w:color w:val="000000"/>
                <w:sz w:val="16"/>
                <w:szCs w:val="16"/>
              </w:rPr>
            </w:pPr>
          </w:p>
        </w:tc>
        <w:tc>
          <w:tcPr>
            <w:tcW w:w="1746"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2420"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102" w:type="dxa"/>
            <w:gridSpan w:val="2"/>
            <w:vAlign w:val="center"/>
          </w:tcPr>
          <w:p>
            <w:pPr>
              <w:rPr>
                <w:rFonts w:ascii="宋体" w:hAnsi="宋体" w:eastAsia="宋体" w:cs="宋体"/>
                <w:color w:val="000000"/>
                <w:sz w:val="16"/>
                <w:szCs w:val="16"/>
              </w:rPr>
            </w:pPr>
          </w:p>
        </w:tc>
        <w:tc>
          <w:tcPr>
            <w:tcW w:w="1746"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2420"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b/>
                <w:color w:val="000000"/>
                <w:sz w:val="16"/>
                <w:szCs w:val="16"/>
              </w:rPr>
              <w:t>356.8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b/>
                <w:color w:val="000000"/>
                <w:sz w:val="16"/>
                <w:szCs w:val="16"/>
              </w:rPr>
              <w:t>356.8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b/>
                <w:color w:val="000000"/>
                <w:sz w:val="16"/>
                <w:szCs w:val="16"/>
              </w:rPr>
              <w:t>356.8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tcPr>
          <w:p>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b/>
                <w:color w:val="000000"/>
                <w:sz w:val="16"/>
                <w:szCs w:val="16"/>
              </w:rPr>
              <w:t>356.8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cs="宋体"/>
                <w:b/>
                <w:color w:val="000000"/>
                <w:sz w:val="16"/>
                <w:szCs w:val="16"/>
              </w:rPr>
              <w:t>356.8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sz w:val="16"/>
                <w:szCs w:val="16"/>
              </w:rPr>
              <w:t>356.8</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pPr>
            <w:r>
              <w:rPr>
                <w:rFonts w:hint="eastAsia" w:ascii="宋体" w:hAnsi="宋体" w:cs="宋体"/>
                <w:b/>
                <w:color w:val="000000"/>
                <w:sz w:val="16"/>
                <w:szCs w:val="16"/>
              </w:rPr>
              <w:t>356.8</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pPr>
            <w:r>
              <w:rPr>
                <w:rFonts w:hint="eastAsia" w:ascii="宋体" w:hAnsi="宋体" w:cs="宋体"/>
                <w:b/>
                <w:color w:val="000000"/>
                <w:sz w:val="16"/>
                <w:szCs w:val="16"/>
              </w:rPr>
              <w:t>356.8</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注：本表反映部门本年度一般公共预算财政拨款和政府性基金预算财政拨款的总收入和年末结转结余情况。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6"/>
            <w:vAlign w:val="center"/>
          </w:tcPr>
          <w:p>
            <w:pPr>
              <w:rPr>
                <w:rFonts w:ascii="宋体" w:hAnsi="宋体" w:eastAsia="宋体" w:cs="宋体"/>
                <w:color w:val="000000"/>
                <w:sz w:val="16"/>
                <w:szCs w:val="16"/>
              </w:rPr>
            </w:pPr>
          </w:p>
        </w:tc>
        <w:tc>
          <w:tcPr>
            <w:tcW w:w="1575" w:type="dxa"/>
            <w:gridSpan w:val="3"/>
            <w:vAlign w:val="center"/>
          </w:tcPr>
          <w:p>
            <w:pPr>
              <w:rPr>
                <w:rFonts w:ascii="宋体" w:hAnsi="宋体" w:eastAsia="宋体" w:cs="宋体"/>
                <w:color w:val="000000"/>
                <w:sz w:val="16"/>
                <w:szCs w:val="16"/>
              </w:rPr>
            </w:pPr>
          </w:p>
        </w:tc>
        <w:tc>
          <w:tcPr>
            <w:tcW w:w="2580"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6"/>
            <w:vAlign w:val="center"/>
          </w:tcPr>
          <w:p>
            <w:pPr>
              <w:rPr>
                <w:rFonts w:ascii="宋体" w:hAnsi="宋体" w:eastAsia="宋体" w:cs="宋体"/>
                <w:color w:val="000000"/>
                <w:sz w:val="16"/>
                <w:szCs w:val="16"/>
              </w:rPr>
            </w:pPr>
          </w:p>
        </w:tc>
        <w:tc>
          <w:tcPr>
            <w:tcW w:w="1575" w:type="dxa"/>
            <w:gridSpan w:val="3"/>
            <w:vAlign w:val="center"/>
          </w:tcPr>
          <w:p>
            <w:pPr>
              <w:rPr>
                <w:rFonts w:ascii="宋体" w:hAnsi="宋体" w:eastAsia="宋体" w:cs="宋体"/>
                <w:color w:val="000000"/>
                <w:sz w:val="16"/>
                <w:szCs w:val="16"/>
              </w:rPr>
            </w:pPr>
          </w:p>
        </w:tc>
        <w:tc>
          <w:tcPr>
            <w:tcW w:w="2580"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356.8 </w:t>
            </w:r>
          </w:p>
        </w:tc>
        <w:tc>
          <w:tcPr>
            <w:tcW w:w="2160" w:type="dxa"/>
            <w:gridSpan w:val="8"/>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215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资源勘探信息等支出</w:t>
            </w:r>
          </w:p>
        </w:tc>
        <w:tc>
          <w:tcPr>
            <w:tcW w:w="2160" w:type="dxa"/>
            <w:gridSpan w:val="4"/>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8"/>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21506</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安全生产监管</w:t>
            </w:r>
          </w:p>
        </w:tc>
        <w:tc>
          <w:tcPr>
            <w:tcW w:w="2160" w:type="dxa"/>
            <w:gridSpan w:val="4"/>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8"/>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2150601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8"/>
            <w:tcBorders>
              <w:top w:val="single" w:color="000000" w:sz="4" w:space="0"/>
              <w:left w:val="single" w:color="000000" w:sz="4" w:space="0"/>
              <w:bottom w:val="single" w:color="000000" w:sz="4" w:space="0"/>
              <w:right w:val="single" w:color="000000" w:sz="4" w:space="0"/>
            </w:tcBorders>
          </w:tcPr>
          <w:p>
            <w:r>
              <w:rPr>
                <w:rFonts w:hint="eastAsia" w:ascii="宋体" w:hAnsi="宋体" w:eastAsia="宋体" w:cs="宋体"/>
                <w:b/>
                <w:color w:val="000000"/>
                <w:kern w:val="0"/>
                <w:sz w:val="16"/>
                <w:szCs w:val="16"/>
              </w:rPr>
              <w:t>356.8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160"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16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900"/>
        <w:gridCol w:w="93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568"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568"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sz w:val="16"/>
                <w:szCs w:val="16"/>
              </w:rPr>
              <w:t>226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100.8</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89.8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4.7</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44.7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5.1</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4.5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0.6</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wordWrap w:val="0"/>
              <w:jc w:val="right"/>
              <w:textAlignment w:val="center"/>
              <w:rPr>
                <w:rFonts w:ascii="宋体" w:cs="宋体"/>
                <w:color w:val="000000"/>
                <w:sz w:val="16"/>
                <w:szCs w:val="16"/>
              </w:rPr>
            </w:pPr>
            <w:r>
              <w:rPr>
                <w:rFonts w:hint="eastAsia" w:ascii="宋体" w:cs="宋体"/>
                <w:color w:val="000000"/>
                <w:sz w:val="16"/>
                <w:szCs w:val="16"/>
              </w:rPr>
              <w:t xml:space="preserve">7.7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30.3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49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sz w:val="16"/>
                <w:szCs w:val="16"/>
              </w:rPr>
              <w:t>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1.8</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0.7</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1.4</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12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4.5</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0</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42</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color w:val="000000"/>
                <w:kern w:val="0"/>
                <w:sz w:val="16"/>
                <w:szCs w:val="16"/>
              </w:rPr>
              <w:t>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hAnsi="宋体" w:cs="宋体"/>
                <w:color w:val="000000"/>
                <w:sz w:val="16"/>
                <w:szCs w:val="16"/>
              </w:rPr>
              <w:t>31</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PrEx>
        <w:trPr>
          <w:trHeight w:val="300"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575" w:type="dxa"/>
            <w:tcBorders>
              <w:top w:val="single" w:color="000000" w:sz="4" w:space="0"/>
              <w:left w:val="single" w:color="000000" w:sz="4" w:space="0"/>
              <w:bottom w:val="single" w:color="000000" w:sz="4"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90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575" w:type="dxa"/>
            <w:tcBorders>
              <w:top w:val="single" w:color="000000" w:sz="4" w:space="0"/>
              <w:left w:val="single" w:color="000000" w:sz="4" w:space="0"/>
              <w:bottom w:val="single" w:color="000000" w:sz="12" w:space="0"/>
              <w:right w:val="single" w:color="000000" w:sz="12" w:space="0"/>
            </w:tcBorders>
          </w:tcPr>
          <w:p>
            <w:pPr>
              <w:jc w:val="right"/>
            </w:pPr>
            <w:r>
              <w:rPr>
                <w:rFonts w:hint="eastAsia" w:ascii="宋体" w:cs="宋体"/>
                <w:color w:val="000000"/>
                <w:sz w:val="16"/>
                <w:szCs w:val="16"/>
              </w:rPr>
              <w:t>0</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80" w:type="dxa"/>
        <w:tblInd w:w="-876" w:type="dxa"/>
        <w:tblLayout w:type="fixed"/>
        <w:tblCellMar>
          <w:top w:w="15" w:type="dxa"/>
          <w:left w:w="15" w:type="dxa"/>
          <w:bottom w:w="15" w:type="dxa"/>
          <w:right w:w="15" w:type="dxa"/>
        </w:tblCellMar>
      </w:tblPr>
      <w:tblGrid>
        <w:gridCol w:w="945"/>
        <w:gridCol w:w="717"/>
        <w:gridCol w:w="1608"/>
        <w:gridCol w:w="1155"/>
        <w:gridCol w:w="1140"/>
        <w:gridCol w:w="1215"/>
        <w:gridCol w:w="288"/>
        <w:gridCol w:w="876"/>
        <w:gridCol w:w="51"/>
        <w:gridCol w:w="1215"/>
        <w:gridCol w:w="1170"/>
      </w:tblGrid>
      <w:tr>
        <w:tblPrEx>
          <w:tblLayout w:type="fixed"/>
          <w:tblCellMar>
            <w:top w:w="15" w:type="dxa"/>
            <w:left w:w="15" w:type="dxa"/>
            <w:bottom w:w="15" w:type="dxa"/>
            <w:right w:w="15" w:type="dxa"/>
          </w:tblCellMar>
        </w:tblPrEx>
        <w:trPr>
          <w:trHeight w:val="375" w:hRule="atLeast"/>
        </w:trPr>
        <w:tc>
          <w:tcPr>
            <w:tcW w:w="10380" w:type="dxa"/>
            <w:gridSpan w:val="11"/>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662" w:type="dxa"/>
            <w:gridSpan w:val="2"/>
            <w:vAlign w:val="center"/>
          </w:tcPr>
          <w:p>
            <w:pPr>
              <w:rPr>
                <w:rFonts w:ascii="宋体" w:hAnsi="宋体" w:eastAsia="宋体" w:cs="宋体"/>
                <w:color w:val="000000"/>
                <w:sz w:val="16"/>
                <w:szCs w:val="16"/>
              </w:rPr>
            </w:pPr>
          </w:p>
        </w:tc>
        <w:tc>
          <w:tcPr>
            <w:tcW w:w="1608" w:type="dxa"/>
            <w:vAlign w:val="center"/>
          </w:tcPr>
          <w:p>
            <w:pPr>
              <w:rPr>
                <w:rFonts w:ascii="宋体" w:hAnsi="宋体" w:eastAsia="宋体" w:cs="宋体"/>
                <w:color w:val="000000"/>
                <w:sz w:val="16"/>
                <w:szCs w:val="16"/>
              </w:rPr>
            </w:pPr>
          </w:p>
        </w:tc>
        <w:tc>
          <w:tcPr>
            <w:tcW w:w="1155" w:type="dxa"/>
            <w:vAlign w:val="center"/>
          </w:tcPr>
          <w:p>
            <w:pPr>
              <w:rPr>
                <w:rFonts w:ascii="宋体" w:hAnsi="宋体" w:eastAsia="宋体" w:cs="宋体"/>
                <w:color w:val="000000"/>
                <w:sz w:val="16"/>
                <w:szCs w:val="16"/>
              </w:rPr>
            </w:pPr>
          </w:p>
        </w:tc>
        <w:tc>
          <w:tcPr>
            <w:tcW w:w="1140" w:type="dxa"/>
            <w:vAlign w:val="center"/>
          </w:tcPr>
          <w:p>
            <w:pPr>
              <w:rPr>
                <w:rFonts w:ascii="宋体" w:hAnsi="宋体" w:eastAsia="宋体" w:cs="宋体"/>
                <w:color w:val="000000"/>
                <w:sz w:val="16"/>
                <w:szCs w:val="16"/>
              </w:rPr>
            </w:pPr>
          </w:p>
        </w:tc>
        <w:tc>
          <w:tcPr>
            <w:tcW w:w="1503" w:type="dxa"/>
            <w:gridSpan w:val="2"/>
            <w:vAlign w:val="center"/>
          </w:tcPr>
          <w:p>
            <w:pPr>
              <w:rPr>
                <w:rFonts w:ascii="宋体" w:hAnsi="宋体" w:eastAsia="宋体" w:cs="宋体"/>
                <w:color w:val="000000"/>
                <w:sz w:val="16"/>
                <w:szCs w:val="16"/>
              </w:rPr>
            </w:pPr>
          </w:p>
        </w:tc>
        <w:tc>
          <w:tcPr>
            <w:tcW w:w="876" w:type="dxa"/>
            <w:vAlign w:val="center"/>
          </w:tcPr>
          <w:p>
            <w:pPr>
              <w:rPr>
                <w:rFonts w:ascii="宋体" w:hAnsi="宋体" w:eastAsia="宋体" w:cs="宋体"/>
                <w:color w:val="000000"/>
                <w:sz w:val="16"/>
                <w:szCs w:val="16"/>
              </w:rPr>
            </w:pPr>
          </w:p>
        </w:tc>
        <w:tc>
          <w:tcPr>
            <w:tcW w:w="1266" w:type="dxa"/>
            <w:gridSpan w:val="2"/>
            <w:vAlign w:val="center"/>
          </w:tcPr>
          <w:p>
            <w:pPr>
              <w:rPr>
                <w:rFonts w:ascii="宋体" w:hAnsi="宋体" w:eastAsia="宋体" w:cs="宋体"/>
                <w:color w:val="000000"/>
                <w:sz w:val="16"/>
                <w:szCs w:val="16"/>
              </w:rPr>
            </w:pPr>
          </w:p>
        </w:tc>
        <w:tc>
          <w:tcPr>
            <w:tcW w:w="117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Layout w:type="fixed"/>
          <w:tblCellMar>
            <w:top w:w="15" w:type="dxa"/>
            <w:left w:w="15" w:type="dxa"/>
            <w:bottom w:w="15" w:type="dxa"/>
            <w:right w:w="15" w:type="dxa"/>
          </w:tblCellMar>
        </w:tblPrEx>
        <w:trPr>
          <w:trHeight w:val="270" w:hRule="atLeast"/>
        </w:trPr>
        <w:tc>
          <w:tcPr>
            <w:tcW w:w="1662" w:type="dxa"/>
            <w:gridSpan w:val="2"/>
            <w:vAlign w:val="center"/>
          </w:tcPr>
          <w:p>
            <w:pPr>
              <w:rPr>
                <w:rFonts w:ascii="宋体" w:hAnsi="宋体" w:eastAsia="宋体" w:cs="宋体"/>
                <w:color w:val="000000"/>
                <w:sz w:val="16"/>
                <w:szCs w:val="16"/>
              </w:rPr>
            </w:pPr>
          </w:p>
        </w:tc>
        <w:tc>
          <w:tcPr>
            <w:tcW w:w="1608" w:type="dxa"/>
            <w:vAlign w:val="center"/>
          </w:tcPr>
          <w:p>
            <w:pPr>
              <w:rPr>
                <w:rFonts w:ascii="宋体" w:hAnsi="宋体" w:eastAsia="宋体" w:cs="宋体"/>
                <w:color w:val="000000"/>
                <w:sz w:val="16"/>
                <w:szCs w:val="16"/>
              </w:rPr>
            </w:pPr>
          </w:p>
        </w:tc>
        <w:tc>
          <w:tcPr>
            <w:tcW w:w="1155" w:type="dxa"/>
            <w:vAlign w:val="center"/>
          </w:tcPr>
          <w:p>
            <w:pPr>
              <w:rPr>
                <w:rFonts w:ascii="宋体" w:hAnsi="宋体" w:eastAsia="宋体" w:cs="宋体"/>
                <w:color w:val="000000"/>
                <w:sz w:val="16"/>
                <w:szCs w:val="16"/>
              </w:rPr>
            </w:pPr>
          </w:p>
        </w:tc>
        <w:tc>
          <w:tcPr>
            <w:tcW w:w="1140" w:type="dxa"/>
            <w:vAlign w:val="center"/>
          </w:tcPr>
          <w:p>
            <w:pPr>
              <w:rPr>
                <w:rFonts w:ascii="宋体" w:hAnsi="宋体" w:eastAsia="宋体" w:cs="宋体"/>
                <w:color w:val="000000"/>
                <w:sz w:val="16"/>
                <w:szCs w:val="16"/>
              </w:rPr>
            </w:pPr>
          </w:p>
        </w:tc>
        <w:tc>
          <w:tcPr>
            <w:tcW w:w="1503" w:type="dxa"/>
            <w:gridSpan w:val="2"/>
            <w:vAlign w:val="center"/>
          </w:tcPr>
          <w:p>
            <w:pPr>
              <w:rPr>
                <w:rFonts w:ascii="宋体" w:hAnsi="宋体" w:eastAsia="宋体" w:cs="宋体"/>
                <w:color w:val="000000"/>
                <w:sz w:val="16"/>
                <w:szCs w:val="16"/>
              </w:rPr>
            </w:pPr>
          </w:p>
        </w:tc>
        <w:tc>
          <w:tcPr>
            <w:tcW w:w="876" w:type="dxa"/>
            <w:vAlign w:val="center"/>
          </w:tcPr>
          <w:p>
            <w:pPr>
              <w:rPr>
                <w:rFonts w:ascii="宋体" w:hAnsi="宋体" w:eastAsia="宋体" w:cs="宋体"/>
                <w:color w:val="000000"/>
                <w:sz w:val="16"/>
                <w:szCs w:val="16"/>
              </w:rPr>
            </w:pPr>
          </w:p>
        </w:tc>
        <w:tc>
          <w:tcPr>
            <w:tcW w:w="1266" w:type="dxa"/>
            <w:gridSpan w:val="2"/>
            <w:vAlign w:val="center"/>
          </w:tcPr>
          <w:p>
            <w:pPr>
              <w:rPr>
                <w:rFonts w:ascii="宋体" w:hAnsi="宋体" w:eastAsia="宋体" w:cs="宋体"/>
                <w:color w:val="000000"/>
                <w:sz w:val="16"/>
                <w:szCs w:val="16"/>
              </w:rPr>
            </w:pPr>
          </w:p>
        </w:tc>
        <w:tc>
          <w:tcPr>
            <w:tcW w:w="117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5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14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645"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17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09"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5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7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27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0 </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420"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sz w:val="16"/>
                <w:szCs w:val="16"/>
              </w:rPr>
              <w:t>0</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4"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270" w:hRule="atLeast"/>
        </w:trPr>
        <w:tc>
          <w:tcPr>
            <w:tcW w:w="94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2320499</w:t>
            </w:r>
          </w:p>
        </w:tc>
        <w:tc>
          <w:tcPr>
            <w:tcW w:w="2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其他政府性基金债务付息支出</w:t>
            </w:r>
          </w:p>
        </w:tc>
        <w:tc>
          <w:tcPr>
            <w:tcW w:w="115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40" w:type="dxa"/>
            <w:tcBorders>
              <w:top w:val="single" w:color="000000" w:sz="4" w:space="0"/>
              <w:left w:val="single" w:color="000000" w:sz="4" w:space="0"/>
              <w:bottom w:val="single" w:color="000000" w:sz="12"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12"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gridSpan w:val="3"/>
            <w:tcBorders>
              <w:top w:val="single" w:color="000000" w:sz="4" w:space="0"/>
              <w:left w:val="single" w:color="000000" w:sz="4" w:space="0"/>
              <w:bottom w:val="single" w:color="000000" w:sz="12" w:space="0"/>
              <w:right w:val="single" w:color="000000" w:sz="4" w:space="0"/>
            </w:tcBorders>
          </w:tcPr>
          <w:p>
            <w:pPr>
              <w:jc w:val="right"/>
            </w:pPr>
            <w:r>
              <w:rPr>
                <w:rFonts w:hint="eastAsia" w:ascii="宋体" w:hAnsi="宋体" w:eastAsia="宋体" w:cs="宋体"/>
                <w:b/>
                <w:color w:val="000000"/>
                <w:kern w:val="0"/>
                <w:sz w:val="16"/>
                <w:szCs w:val="16"/>
              </w:rPr>
              <w:t>0</w:t>
            </w:r>
          </w:p>
        </w:tc>
        <w:tc>
          <w:tcPr>
            <w:tcW w:w="121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1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10380" w:type="dxa"/>
            <w:gridSpan w:val="11"/>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b/>
                <w:color w:val="FF0000"/>
                <w:kern w:val="0"/>
                <w:sz w:val="20"/>
                <w:szCs w:val="20"/>
              </w:rPr>
              <w:t>说明：</w:t>
            </w:r>
            <w:r>
              <w:rPr>
                <w:rFonts w:hint="eastAsia" w:ascii="宋体" w:hAnsi="宋体" w:eastAsia="宋体" w:cs="宋体"/>
                <w:b/>
                <w:color w:val="FF0000"/>
                <w:kern w:val="0"/>
                <w:sz w:val="20"/>
                <w:szCs w:val="20"/>
                <w:lang w:eastAsia="zh-CN"/>
              </w:rPr>
              <w:t>安监</w:t>
            </w:r>
            <w:bookmarkStart w:id="0" w:name="_GoBack"/>
            <w:bookmarkEnd w:id="0"/>
            <w:r>
              <w:rPr>
                <w:rFonts w:hint="eastAsia" w:ascii="宋体" w:hAnsi="宋体" w:eastAsia="宋体" w:cs="宋体"/>
                <w:b/>
                <w:color w:val="FF0000"/>
                <w:kern w:val="0"/>
                <w:sz w:val="20"/>
                <w:szCs w:val="20"/>
              </w:rPr>
              <w:t>局没有政府性基金收入，也没有使用政府性基金安排的支出，故本表无数据。</w:t>
            </w:r>
          </w:p>
        </w:tc>
      </w:tr>
    </w:tbl>
    <w:p>
      <w:pPr>
        <w:widowControl/>
        <w:adjustRightInd w:val="0"/>
        <w:snapToGrid w:val="0"/>
        <w:ind w:right="100"/>
        <w:jc w:val="left"/>
        <w:rPr>
          <w:rFonts w:ascii="方正小标宋简体" w:hAnsi="Times New Roman" w:eastAsia="方正小标宋简体"/>
          <w:sz w:val="36"/>
          <w:szCs w:val="36"/>
        </w:rPr>
      </w:pPr>
    </w:p>
    <w:p>
      <w:pPr>
        <w:adjustRightInd w:val="0"/>
        <w:snapToGrid w:val="0"/>
        <w:spacing w:line="590" w:lineRule="exact"/>
        <w:jc w:val="left"/>
        <w:rPr>
          <w:rFonts w:ascii="黑体" w:hAnsi="仿宋_GB2312" w:eastAsia="黑体" w:cs="仿宋_GB2312"/>
          <w:sz w:val="32"/>
          <w:szCs w:val="32"/>
        </w:rPr>
        <w:sectPr>
          <w:pgSz w:w="11906" w:h="16838"/>
          <w:pgMar w:top="1440" w:right="1531" w:bottom="1440" w:left="1587" w:header="851" w:footer="992" w:gutter="0"/>
          <w:pgNumType w:fmt="numberInDash"/>
          <w:cols w:space="720"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83"/>
        <w:gridCol w:w="853"/>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hAnsi="宋体" w:eastAsia="宋体" w:cs="宋体"/>
                <w:color w:val="000000"/>
                <w:sz w:val="16"/>
                <w:szCs w:val="16"/>
              </w:rPr>
            </w:pPr>
          </w:p>
        </w:tc>
        <w:tc>
          <w:tcPr>
            <w:tcW w:w="693"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24" w:type="dxa"/>
            <w:vAlign w:val="center"/>
          </w:tcPr>
          <w:p>
            <w:pPr>
              <w:rPr>
                <w:rFonts w:ascii="宋体" w:hAnsi="宋体" w:eastAsia="宋体" w:cs="宋体"/>
                <w:color w:val="000000"/>
                <w:sz w:val="16"/>
                <w:szCs w:val="16"/>
              </w:rPr>
            </w:pPr>
          </w:p>
        </w:tc>
        <w:tc>
          <w:tcPr>
            <w:tcW w:w="767"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1636"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hAnsi="宋体" w:eastAsia="宋体" w:cs="宋体"/>
                <w:color w:val="000000"/>
                <w:sz w:val="16"/>
                <w:szCs w:val="16"/>
              </w:rPr>
            </w:pPr>
          </w:p>
        </w:tc>
        <w:tc>
          <w:tcPr>
            <w:tcW w:w="693"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24" w:type="dxa"/>
            <w:vAlign w:val="center"/>
          </w:tcPr>
          <w:p>
            <w:pPr>
              <w:rPr>
                <w:rFonts w:ascii="宋体" w:hAnsi="宋体" w:eastAsia="宋体" w:cs="宋体"/>
                <w:color w:val="000000"/>
                <w:sz w:val="16"/>
                <w:szCs w:val="16"/>
              </w:rPr>
            </w:pPr>
          </w:p>
        </w:tc>
        <w:tc>
          <w:tcPr>
            <w:tcW w:w="767" w:type="dxa"/>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693" w:type="dxa"/>
            <w:gridSpan w:val="2"/>
            <w:vAlign w:val="center"/>
          </w:tcPr>
          <w:p>
            <w:pPr>
              <w:rPr>
                <w:rFonts w:ascii="宋体" w:hAnsi="宋体" w:eastAsia="宋体" w:cs="宋体"/>
                <w:color w:val="000000"/>
                <w:sz w:val="16"/>
                <w:szCs w:val="16"/>
              </w:rPr>
            </w:pPr>
          </w:p>
        </w:tc>
        <w:tc>
          <w:tcPr>
            <w:tcW w:w="1636"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2016年度决算数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70"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82"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公务用车购置及运行费</w:t>
            </w:r>
          </w:p>
        </w:tc>
        <w:tc>
          <w:tcPr>
            <w:tcW w:w="853" w:type="dxa"/>
            <w:vMerge w:val="restart"/>
            <w:tcBorders>
              <w:top w:val="single" w:color="000000" w:sz="4" w:space="0"/>
              <w:left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70"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53" w:type="dxa"/>
            <w:vMerge w:val="continue"/>
            <w:tcBorders>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5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4.4</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4.4</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2.4</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2</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8.4</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3.4</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7"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2</w:t>
            </w:r>
          </w:p>
        </w:tc>
        <w:tc>
          <w:tcPr>
            <w:tcW w:w="853"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sz w:val="16"/>
                <w:szCs w:val="16"/>
              </w:rPr>
              <w:t>1.4</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adjustRightInd w:val="0"/>
        <w:snapToGrid w:val="0"/>
        <w:spacing w:line="590" w:lineRule="exact"/>
        <w:jc w:val="left"/>
        <w:rPr>
          <w:rFonts w:ascii="黑体" w:hAnsi="仿宋_GB2312" w:eastAsia="黑体" w:cs="仿宋_GB2312"/>
          <w:sz w:val="32"/>
          <w:szCs w:val="32"/>
        </w:rPr>
      </w:pPr>
    </w:p>
    <w:p>
      <w:pPr>
        <w:jc w:val="center"/>
        <w:rPr>
          <w:rFonts w:ascii="方正小标宋简体" w:eastAsia="方正小标宋简体"/>
          <w:sz w:val="44"/>
          <w:szCs w:val="44"/>
        </w:rPr>
      </w:pPr>
    </w:p>
    <w:p>
      <w:pPr>
        <w:widowControl/>
        <w:snapToGrid w:val="0"/>
        <w:spacing w:line="600" w:lineRule="exact"/>
        <w:rPr>
          <w:rFonts w:ascii="华文仿宋" w:hAnsi="华文仿宋" w:eastAsia="华文仿宋"/>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_GB2312"/>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2">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3">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4">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5">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1A11"/>
    <w:rsid w:val="00172A27"/>
    <w:rsid w:val="003A1515"/>
    <w:rsid w:val="0058749C"/>
    <w:rsid w:val="00630D31"/>
    <w:rsid w:val="00953CCF"/>
    <w:rsid w:val="00A544CF"/>
    <w:rsid w:val="00B51510"/>
    <w:rsid w:val="00B54309"/>
    <w:rsid w:val="00B84FB0"/>
    <w:rsid w:val="00D50936"/>
    <w:rsid w:val="00D727DB"/>
    <w:rsid w:val="00DE255A"/>
    <w:rsid w:val="00E30E28"/>
    <w:rsid w:val="00EA70A4"/>
    <w:rsid w:val="00FB47C5"/>
    <w:rsid w:val="00FB7C02"/>
    <w:rsid w:val="01064770"/>
    <w:rsid w:val="04453648"/>
    <w:rsid w:val="04985751"/>
    <w:rsid w:val="061516EF"/>
    <w:rsid w:val="06FE1BC3"/>
    <w:rsid w:val="09BB2134"/>
    <w:rsid w:val="11751280"/>
    <w:rsid w:val="12CB671C"/>
    <w:rsid w:val="13DA4090"/>
    <w:rsid w:val="14661166"/>
    <w:rsid w:val="15492582"/>
    <w:rsid w:val="1BB26345"/>
    <w:rsid w:val="1D375E40"/>
    <w:rsid w:val="1E7D3B34"/>
    <w:rsid w:val="1F1F0F93"/>
    <w:rsid w:val="209C4FF0"/>
    <w:rsid w:val="22080EE6"/>
    <w:rsid w:val="22576149"/>
    <w:rsid w:val="229E554B"/>
    <w:rsid w:val="258F34D6"/>
    <w:rsid w:val="27A16F7C"/>
    <w:rsid w:val="2BA4769A"/>
    <w:rsid w:val="2CD06EF4"/>
    <w:rsid w:val="2FF950D9"/>
    <w:rsid w:val="30485E97"/>
    <w:rsid w:val="32EF40CE"/>
    <w:rsid w:val="34464ED0"/>
    <w:rsid w:val="35B66CB8"/>
    <w:rsid w:val="372974AC"/>
    <w:rsid w:val="374B0DD2"/>
    <w:rsid w:val="3CC04E5C"/>
    <w:rsid w:val="3CE47224"/>
    <w:rsid w:val="3F287BFC"/>
    <w:rsid w:val="3FB01D2D"/>
    <w:rsid w:val="41A56C57"/>
    <w:rsid w:val="42271DDB"/>
    <w:rsid w:val="42845E93"/>
    <w:rsid w:val="452C588E"/>
    <w:rsid w:val="47CA283B"/>
    <w:rsid w:val="48036E61"/>
    <w:rsid w:val="48B52937"/>
    <w:rsid w:val="48EE3EF3"/>
    <w:rsid w:val="4A95625C"/>
    <w:rsid w:val="4C1E2F28"/>
    <w:rsid w:val="4CE812E8"/>
    <w:rsid w:val="4F2153AE"/>
    <w:rsid w:val="50E07A46"/>
    <w:rsid w:val="51AD42DE"/>
    <w:rsid w:val="53E9756D"/>
    <w:rsid w:val="5651051D"/>
    <w:rsid w:val="57BB5F84"/>
    <w:rsid w:val="57E961A8"/>
    <w:rsid w:val="581E77CF"/>
    <w:rsid w:val="58B06254"/>
    <w:rsid w:val="59E3092F"/>
    <w:rsid w:val="5ADC2402"/>
    <w:rsid w:val="5AF25131"/>
    <w:rsid w:val="5B39011D"/>
    <w:rsid w:val="5D394358"/>
    <w:rsid w:val="5D9F4273"/>
    <w:rsid w:val="5F3A0145"/>
    <w:rsid w:val="600176AC"/>
    <w:rsid w:val="612457AD"/>
    <w:rsid w:val="627358F6"/>
    <w:rsid w:val="6431638A"/>
    <w:rsid w:val="664A46E0"/>
    <w:rsid w:val="674E08EC"/>
    <w:rsid w:val="6A2415C4"/>
    <w:rsid w:val="6B1A4A24"/>
    <w:rsid w:val="6C2F3976"/>
    <w:rsid w:val="6DEF1F4E"/>
    <w:rsid w:val="6EA970D1"/>
    <w:rsid w:val="704F44A3"/>
    <w:rsid w:val="737A5BE5"/>
    <w:rsid w:val="73F1196C"/>
    <w:rsid w:val="75531EF6"/>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1497</Words>
  <Characters>8536</Characters>
  <Lines>71</Lines>
  <Paragraphs>20</Paragraphs>
  <TotalTime>1</TotalTime>
  <ScaleCrop>false</ScaleCrop>
  <LinksUpToDate>false</LinksUpToDate>
  <CharactersWithSpaces>10013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2019-01-21T09:27:00Z</dcterms:created>
  <dc:creator>wsj</dc:creator>
  <cp:lastModifiedBy>Administrator</cp:lastModifiedBy>
  <cp:lastPrinted>2017-07-25T02:47:00Z</cp:lastPrinted>
  <dcterms:modified xsi:type="dcterms:W3CDTF">2019-02-13T01:37:00Z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