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cs="仿宋_GB2312" w:asciiTheme="minorEastAsia" w:hAnsiTheme="minorEastAsia"/>
          <w:sz w:val="44"/>
          <w:szCs w:val="44"/>
        </w:rPr>
      </w:pPr>
      <w:r>
        <w:rPr>
          <w:rFonts w:hint="eastAsia" w:cs="隶书" w:asciiTheme="minorEastAsia" w:hAnsiTheme="minorEastAsia"/>
          <w:sz w:val="52"/>
          <w:szCs w:val="52"/>
        </w:rPr>
        <w:t>浉河区人力资源和社会保障局</w:t>
      </w:r>
    </w:p>
    <w:p>
      <w:pPr>
        <w:jc w:val="center"/>
        <w:rPr>
          <w:rFonts w:cs="黑体" w:asciiTheme="minorEastAsia" w:hAnsiTheme="minorEastAsia"/>
          <w:sz w:val="52"/>
          <w:szCs w:val="52"/>
        </w:rPr>
      </w:pPr>
    </w:p>
    <w:p>
      <w:pPr>
        <w:jc w:val="center"/>
        <w:rPr>
          <w:rFonts w:cs="隶书" w:asciiTheme="minorEastAsia" w:hAnsiTheme="minorEastAsia"/>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cs="隶书" w:asciiTheme="minorEastAsia" w:hAnsiTheme="minorEastAsia"/>
          <w:sz w:val="52"/>
          <w:szCs w:val="52"/>
        </w:rPr>
        <w:t>2017年度部门决算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pStyle w:val="10"/>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浉河区人力资源和社会保障局概况</w:t>
      </w:r>
    </w:p>
    <w:p>
      <w:pPr>
        <w:numPr>
          <w:ilvl w:val="0"/>
          <w:numId w:val="2"/>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2"/>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2017年度浉河区人力资源和社会保障局部门决算情况说明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pStyle w:val="10"/>
        <w:numPr>
          <w:ilvl w:val="0"/>
          <w:numId w:val="3"/>
        </w:numPr>
        <w:ind w:firstLineChars="0"/>
        <w:jc w:val="center"/>
        <w:outlineLvl w:val="0"/>
        <w:rPr>
          <w:rFonts w:cs="隶书" w:asciiTheme="minorEastAsia" w:hAnsiTheme="minorEastAsia"/>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cs="隶书" w:asciiTheme="minorEastAsia" w:hAnsiTheme="minorEastAsia"/>
          <w:sz w:val="48"/>
          <w:szCs w:val="48"/>
        </w:rPr>
        <w:t>浉河区人力资源和社会保障局      概况</w:t>
      </w:r>
    </w:p>
    <w:p>
      <w:pPr>
        <w:numPr>
          <w:ilvl w:val="0"/>
          <w:numId w:val="4"/>
        </w:numPr>
        <w:spacing w:line="360" w:lineRule="auto"/>
        <w:ind w:firstLine="640" w:firstLineChars="200"/>
        <w:jc w:val="left"/>
        <w:outlineLvl w:val="1"/>
        <w:rPr>
          <w:rFonts w:cs="黑体" w:asciiTheme="minorEastAsia" w:hAnsiTheme="minorEastAsia"/>
          <w:sz w:val="32"/>
          <w:szCs w:val="32"/>
        </w:rPr>
      </w:pPr>
      <w:r>
        <w:rPr>
          <w:rFonts w:hint="eastAsia" w:cs="黑体" w:asciiTheme="minorEastAsia" w:hAnsiTheme="minorEastAsia"/>
          <w:sz w:val="32"/>
          <w:szCs w:val="32"/>
        </w:rPr>
        <w:t>主要职能</w:t>
      </w:r>
    </w:p>
    <w:p>
      <w:pPr>
        <w:snapToGrid w:val="0"/>
        <w:spacing w:line="560" w:lineRule="exact"/>
        <w:ind w:firstLine="640" w:firstLineChars="200"/>
        <w:rPr>
          <w:rFonts w:asciiTheme="minorEastAsia" w:hAnsiTheme="minorEastAsia"/>
          <w:snapToGrid w:val="0"/>
          <w:kern w:val="0"/>
          <w:sz w:val="32"/>
          <w:szCs w:val="32"/>
        </w:rPr>
      </w:pPr>
      <w:r>
        <w:rPr>
          <w:rFonts w:hint="eastAsia" w:cs="仿宋_GB2312" w:asciiTheme="minorEastAsia" w:hAnsiTheme="minorEastAsia"/>
          <w:sz w:val="32"/>
          <w:szCs w:val="32"/>
        </w:rPr>
        <w:t xml:space="preserve"> </w:t>
      </w:r>
      <w:r>
        <w:rPr>
          <w:rFonts w:hint="eastAsia" w:asciiTheme="minorEastAsia" w:hAnsiTheme="minorEastAsia"/>
          <w:snapToGrid w:val="0"/>
          <w:kern w:val="0"/>
          <w:sz w:val="32"/>
          <w:szCs w:val="32"/>
        </w:rPr>
        <w:t>（一）贯彻执行国家、省人力资源和社会保障法律、法规、政策；拟订全区人力资源和社会保障事业发展规划、政策措施，起草全区人力资源和社会保障地方性规章草案，并组织实施和监督检查。</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（二）拟订全区人力资源市场发展规划和人力资源流动政策措施，建立统一规范的人力资源市场，促进人力资源合理流动、有效配置。</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三）负责全区促进就业工作。拟订全区统筹城乡的就业发展规划和实施意见；完善公共就业服务体系和公共创业服务体系；建立健全就业援助制度；完善职业资格制度；统筹建立面向城乡劳动者的职业培训制度，牵头拟订高校毕业生就业工作意见；会同有关部门拟订高技能人才、农村实用人才培养和激励政策措施。</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四）统筹建立覆盖全区城乡的社会保障体系。统筹拟订全区城乡社会保险及其补充保险实施意见和标准，组织拟订全区统一的社会保险关系转续办法，统筹拟订全区机关企事业单位基本养老保险实施意见，会同有关部门拟订全区社会保险及其补充保险基金管理和监督制度，编制全区社会保险基金预决算草案。</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五）负责全区就业、失业、社会保险基金预测预警和信息引导，拟订应对预案，实施预防、调节和控制；拟订全区经济结构调整中涉及职工安置权益保障的有关政策措施，保持全区就业形势稳定和社会保险基金总体收支平衡。</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（六）会同有关部门拟订全区机关、事业单位人员工资收入分配实施意见，建立全区机关企事业单位人员工资正常增长和支付保障机制；拟订全区机关企事业单位人员福利和离退休实施意见。</w:t>
      </w:r>
    </w:p>
    <w:p>
      <w:pPr>
        <w:spacing w:line="560" w:lineRule="exact"/>
        <w:ind w:firstLine="586"/>
        <w:rPr>
          <w:rFonts w:cs="宋体" w:asciiTheme="minorEastAsia" w:hAnsiTheme="minorEastAsia"/>
          <w:sz w:val="32"/>
          <w:szCs w:val="32"/>
        </w:rPr>
      </w:pPr>
      <w:r>
        <w:rPr>
          <w:rFonts w:hint="eastAsia" w:asciiTheme="minorEastAsia" w:hAnsiTheme="minorEastAsia"/>
          <w:snapToGrid w:val="0"/>
          <w:kern w:val="0"/>
          <w:sz w:val="32"/>
          <w:szCs w:val="32"/>
        </w:rPr>
        <w:t>（七）</w:t>
      </w:r>
      <w:r>
        <w:rPr>
          <w:rFonts w:hint="eastAsia" w:cs="宋体" w:asciiTheme="minorEastAsia" w:hAnsiTheme="minorEastAsia"/>
          <w:sz w:val="32"/>
          <w:szCs w:val="32"/>
        </w:rPr>
        <w:t>会同有关部门指导全区事业单位人事制度改革，拟订全区事业单位人员和机关工勤人员管理实施意见；参与人才管理工作；制定全区专业技术人员管理和继续教育政策措施；负责全区职称制度改革工作；负责全区“博士后研发基地”和“一村一品引智示范基地”的推荐和管理工作；协同区委组织部做好享受国务院特殊津贴人员的推荐、选拔和管理工作；负责全区其他高层次专业技术人才选拔和培养工作。</w:t>
      </w:r>
    </w:p>
    <w:p>
      <w:pPr>
        <w:snapToGrid w:val="0"/>
        <w:spacing w:line="560" w:lineRule="exact"/>
        <w:ind w:firstLine="640" w:firstLineChars="200"/>
        <w:rPr>
          <w:rFonts w:cs="宋体" w:asciiTheme="minorEastAsia" w:hAnsiTheme="minorEastAsia"/>
          <w:sz w:val="32"/>
          <w:szCs w:val="32"/>
        </w:rPr>
      </w:pPr>
      <w:r>
        <w:rPr>
          <w:rFonts w:hint="eastAsia" w:asciiTheme="minorEastAsia" w:hAnsiTheme="minorEastAsia"/>
          <w:snapToGrid w:val="0"/>
          <w:kern w:val="0"/>
          <w:sz w:val="32"/>
          <w:szCs w:val="32"/>
        </w:rPr>
        <w:t>（八）</w:t>
      </w:r>
      <w:r>
        <w:rPr>
          <w:rFonts w:hint="eastAsia" w:cs="宋体" w:asciiTheme="minorEastAsia" w:hAnsiTheme="minorEastAsia"/>
          <w:sz w:val="32"/>
          <w:szCs w:val="32"/>
        </w:rPr>
        <w:t>会同有关部门拟订全区军队转业干部安置措施和安置计划；负责全区军队转业干部教育培训工作；组织拟订部分企业军队转业干部解困和稳定实施办法；负责自主择业军队转业干部管理服务工作。</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（九）负责全区行政机关公务员综合管理；拟订有关人员调配实施意见和特殊人员安置实施意见；会同有关部门组织落实国家荣誉制度；拟订政府奖励制度。</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（十）会同有关部门拟订全区农民工工作综合性政策措施和规划，推动农民工相关政策的落实，协调解决重点难点问题，维护农民工合法权益。</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十一）统筹拟订全区人事、劳动争议调解仲裁制度和劳动关系实施意见，完善劳动关系协调机制；依据国家特殊劳动保护政策制定实施细则并监督实施；组织实施劳动保障监察，协调劳动者维权工作，依法查处重大案件。</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（十二）负责全区引进国外智力工作，组织实施引进国外人才和出国（境）培训项目；负责我区人力资源和社会保障领域国际交流与合作工作。</w:t>
      </w:r>
    </w:p>
    <w:p>
      <w:pPr>
        <w:snapToGrid w:val="0"/>
        <w:spacing w:line="560" w:lineRule="exact"/>
        <w:ind w:firstLine="640" w:firstLineChars="200"/>
        <w:rPr>
          <w:rFonts w:asciiTheme="minorEastAsia" w:hAnsiTheme="minorEastAsia"/>
          <w:snapToGrid w:val="0"/>
          <w:kern w:val="0"/>
          <w:sz w:val="32"/>
          <w:szCs w:val="32"/>
        </w:rPr>
      </w:pPr>
      <w:r>
        <w:rPr>
          <w:rFonts w:hint="eastAsia" w:asciiTheme="minorEastAsia" w:hAnsiTheme="minorEastAsia"/>
          <w:snapToGrid w:val="0"/>
          <w:kern w:val="0"/>
          <w:sz w:val="32"/>
          <w:szCs w:val="32"/>
        </w:rPr>
        <w:t>（十三）负责局机关及直属单位的政务信息化工作。</w:t>
      </w:r>
    </w:p>
    <w:p>
      <w:pPr>
        <w:ind w:firstLine="800" w:firstLineChars="250"/>
        <w:rPr>
          <w:rFonts w:asciiTheme="minorEastAsia" w:hAnsiTheme="minorEastAsia"/>
          <w:snapToGrid w:val="0"/>
          <w:kern w:val="0"/>
          <w:sz w:val="32"/>
          <w:szCs w:val="32"/>
        </w:rPr>
      </w:pPr>
      <w:r>
        <w:rPr>
          <w:rFonts w:hint="eastAsia" w:asciiTheme="minorEastAsia" w:hAnsiTheme="minorEastAsia"/>
          <w:snapToGrid w:val="0"/>
          <w:kern w:val="0"/>
          <w:sz w:val="32"/>
          <w:szCs w:val="32"/>
        </w:rPr>
        <w:t>（十四）承办区政府交办的其他事项。</w:t>
      </w:r>
    </w:p>
    <w:p>
      <w:pPr>
        <w:numPr>
          <w:ilvl w:val="0"/>
          <w:numId w:val="5"/>
        </w:numPr>
        <w:spacing w:line="360" w:lineRule="auto"/>
        <w:ind w:firstLine="640" w:firstLineChars="200"/>
        <w:jc w:val="left"/>
        <w:outlineLvl w:val="1"/>
        <w:rPr>
          <w:rFonts w:cs="黑体" w:asciiTheme="minorEastAsia" w:hAnsiTheme="minorEastAsia"/>
          <w:sz w:val="32"/>
          <w:szCs w:val="32"/>
        </w:rPr>
      </w:pPr>
      <w:r>
        <w:rPr>
          <w:rFonts w:hint="eastAsia" w:cs="黑体" w:asciiTheme="minorEastAsia" w:hAnsiTheme="minorEastAsia"/>
          <w:sz w:val="32"/>
          <w:szCs w:val="32"/>
        </w:rPr>
        <w:t>部门决算单位构成</w:t>
      </w:r>
    </w:p>
    <w:p>
      <w:pPr>
        <w:ind w:firstLine="640" w:firstLineChars="200"/>
        <w:rPr>
          <w:rFonts w:hint="eastAsia" w:asciiTheme="minorEastAsia" w:hAnsiTheme="minorEastAsia"/>
          <w:sz w:val="32"/>
          <w:szCs w:val="32"/>
        </w:rPr>
      </w:pPr>
      <w:r>
        <w:rPr>
          <w:rFonts w:hint="eastAsia" w:cs="黑体" w:asciiTheme="minorEastAsia" w:hAnsiTheme="minorEastAsia"/>
          <w:sz w:val="32"/>
          <w:szCs w:val="32"/>
        </w:rPr>
        <w:t xml:space="preserve">  </w:t>
      </w:r>
      <w:r>
        <w:rPr>
          <w:rFonts w:hint="eastAsia" w:cs="宋体" w:asciiTheme="minorEastAsia" w:hAnsiTheme="minorEastAsia"/>
          <w:sz w:val="32"/>
          <w:szCs w:val="32"/>
        </w:rPr>
        <w:t>浉</w:t>
      </w:r>
      <w:r>
        <w:rPr>
          <w:rFonts w:hint="eastAsia" w:cs="仿宋_GB2312" w:asciiTheme="minorEastAsia" w:hAnsiTheme="minorEastAsia"/>
          <w:sz w:val="32"/>
          <w:szCs w:val="32"/>
        </w:rPr>
        <w:t>河区人社局机关及归口预算管理单位共有编制</w:t>
      </w:r>
      <w:r>
        <w:rPr>
          <w:rFonts w:hint="eastAsia" w:asciiTheme="minorEastAsia" w:hAnsiTheme="minorEastAsia"/>
          <w:sz w:val="32"/>
          <w:szCs w:val="32"/>
        </w:rPr>
        <w:t>210人，其中：行政编制19人，局属事业编制191人；在职行政人员22人，在职事业人员191人，离退休人员30人。</w:t>
      </w:r>
    </w:p>
    <w:p>
      <w:pPr>
        <w:ind w:firstLine="640" w:firstLineChars="200"/>
        <w:rPr>
          <w:rFonts w:hint="eastAsia" w:cs="仿宋_GB2312" w:asciiTheme="minorEastAsia" w:hAnsiTheme="minorEastAsia"/>
          <w:sz w:val="32"/>
          <w:szCs w:val="32"/>
          <w:lang w:val="en-US"/>
        </w:rPr>
      </w:pPr>
      <w:r>
        <w:rPr>
          <w:rFonts w:hint="eastAsia" w:cs="仿宋_GB2312" w:asciiTheme="minorEastAsia" w:hAnsiTheme="minorEastAsia"/>
          <w:sz w:val="32"/>
          <w:szCs w:val="32"/>
        </w:rPr>
        <w:t>区人社局机关内设 12个职能科室</w:t>
      </w:r>
      <w:r>
        <w:rPr>
          <w:rFonts w:hint="eastAsia" w:cs="仿宋_GB2312" w:asciiTheme="minorEastAsia" w:hAnsiTheme="minorEastAsia"/>
          <w:sz w:val="32"/>
          <w:szCs w:val="32"/>
          <w:lang w:eastAsia="zh-CN"/>
        </w:rPr>
        <w:t>（</w:t>
      </w:r>
      <w:r>
        <w:rPr>
          <w:rFonts w:hint="eastAsia" w:cs="仿宋_GB2312" w:asciiTheme="minorEastAsia" w:hAnsiTheme="minorEastAsia"/>
          <w:sz w:val="32"/>
          <w:szCs w:val="32"/>
        </w:rPr>
        <w:t>办公室、仲裁信访股、就业促进股、军队转业干部工作股、事业单位人事股、公务员局、工资福利股、社会保险股、基金监督股、劳动保障监察股、职称股、人事股</w:t>
      </w:r>
      <w:r>
        <w:rPr>
          <w:rFonts w:hint="eastAsia" w:cs="仿宋_GB2312" w:asciiTheme="minorEastAsia" w:hAnsiTheme="minorEastAsia"/>
          <w:sz w:val="32"/>
          <w:szCs w:val="32"/>
          <w:lang w:eastAsia="zh-CN"/>
        </w:rPr>
        <w:t>），和</w:t>
      </w:r>
      <w:r>
        <w:rPr>
          <w:rFonts w:hint="eastAsia" w:cs="仿宋_GB2312" w:asciiTheme="minorEastAsia" w:hAnsiTheme="minorEastAsia"/>
          <w:sz w:val="32"/>
          <w:szCs w:val="32"/>
          <w:lang w:val="en-US" w:eastAsia="zh-CN"/>
        </w:rPr>
        <w:t>3个二级机构（</w:t>
      </w:r>
      <w:r>
        <w:rPr>
          <w:rFonts w:hint="eastAsia" w:cs="仿宋_GB2312" w:asciiTheme="minorEastAsia" w:hAnsiTheme="minorEastAsia"/>
          <w:sz w:val="32"/>
          <w:szCs w:val="32"/>
        </w:rPr>
        <w:t>浉河区干部档案室</w:t>
      </w:r>
      <w:r>
        <w:rPr>
          <w:rFonts w:hint="eastAsia" w:cs="仿宋_GB2312" w:asciiTheme="minorEastAsia" w:hAnsiTheme="minorEastAsia"/>
          <w:sz w:val="32"/>
          <w:szCs w:val="32"/>
          <w:lang w:val="en-US" w:eastAsia="zh-CN"/>
        </w:rPr>
        <w:t>、</w:t>
      </w:r>
      <w:r>
        <w:rPr>
          <w:rFonts w:hint="eastAsia" w:cs="仿宋_GB2312" w:asciiTheme="minorEastAsia" w:hAnsiTheme="minorEastAsia"/>
          <w:sz w:val="32"/>
          <w:szCs w:val="32"/>
        </w:rPr>
        <w:t>浉河区军转干部服务中心</w:t>
      </w:r>
      <w:r>
        <w:rPr>
          <w:rFonts w:hint="eastAsia" w:cs="仿宋_GB2312" w:asciiTheme="minorEastAsia" w:hAnsiTheme="minorEastAsia"/>
          <w:sz w:val="32"/>
          <w:szCs w:val="32"/>
          <w:lang w:eastAsia="zh-CN"/>
        </w:rPr>
        <w:t>、</w:t>
      </w:r>
      <w:r>
        <w:rPr>
          <w:rFonts w:hint="eastAsia" w:cs="仿宋_GB2312" w:asciiTheme="minorEastAsia" w:hAnsiTheme="minorEastAsia"/>
          <w:sz w:val="32"/>
          <w:szCs w:val="32"/>
        </w:rPr>
        <w:t>浉河区人力资源和社会保障信息中心</w:t>
      </w:r>
      <w:r>
        <w:rPr>
          <w:rFonts w:hint="eastAsia" w:cs="仿宋_GB2312" w:asciiTheme="minorEastAsia" w:hAnsiTheme="minorEastAsia"/>
          <w:sz w:val="32"/>
          <w:szCs w:val="32"/>
          <w:lang w:val="en-US" w:eastAsia="zh-CN"/>
        </w:rPr>
        <w:t>）。</w:t>
      </w:r>
    </w:p>
    <w:p>
      <w:pPr>
        <w:ind w:firstLine="640" w:firstLineChars="200"/>
        <w:rPr>
          <w:rFonts w:asciiTheme="minorEastAsia" w:hAnsiTheme="minorEastAsia"/>
          <w:sz w:val="32"/>
          <w:szCs w:val="32"/>
        </w:rPr>
      </w:pPr>
      <w:r>
        <w:rPr>
          <w:rFonts w:hint="eastAsia" w:cs="仿宋_GB2312" w:asciiTheme="minorEastAsia" w:hAnsiTheme="minorEastAsia"/>
          <w:sz w:val="32"/>
          <w:szCs w:val="32"/>
        </w:rPr>
        <w:t>纳入浉河区人社局2017年度部门决算编制范围的单位包括：</w:t>
      </w:r>
    </w:p>
    <w:p>
      <w:pPr>
        <w:numPr>
          <w:ilvl w:val="0"/>
          <w:numId w:val="6"/>
        </w:numPr>
        <w:spacing w:line="360" w:lineRule="auto"/>
        <w:ind w:firstLine="640" w:firstLineChars="200"/>
        <w:jc w:val="left"/>
        <w:rPr>
          <w:rFonts w:cs="仿宋_GB2312" w:asciiTheme="minorEastAsia" w:hAnsiTheme="minorEastAsia"/>
          <w:sz w:val="32"/>
          <w:szCs w:val="32"/>
        </w:rPr>
      </w:pPr>
      <w:r>
        <w:rPr>
          <w:rFonts w:hint="eastAsia" w:cs="仿宋_GB2312" w:asciiTheme="minorEastAsia" w:hAnsiTheme="minorEastAsia"/>
          <w:sz w:val="32"/>
          <w:szCs w:val="32"/>
        </w:rPr>
        <w:t>浉河区人社局局本级</w:t>
      </w:r>
    </w:p>
    <w:p>
      <w:pPr>
        <w:numPr>
          <w:ilvl w:val="0"/>
          <w:numId w:val="6"/>
        </w:numPr>
        <w:spacing w:line="360" w:lineRule="auto"/>
        <w:ind w:firstLine="640" w:firstLineChars="200"/>
        <w:jc w:val="left"/>
        <w:rPr>
          <w:rFonts w:cs="仿宋_GB2312" w:asciiTheme="minorEastAsia" w:hAnsiTheme="minorEastAsia"/>
          <w:sz w:val="32"/>
          <w:szCs w:val="32"/>
        </w:rPr>
      </w:pPr>
      <w:r>
        <w:rPr>
          <w:rFonts w:hint="eastAsia" w:cs="仿宋_GB2312" w:asciiTheme="minorEastAsia" w:hAnsiTheme="minorEastAsia"/>
          <w:sz w:val="32"/>
          <w:szCs w:val="32"/>
        </w:rPr>
        <w:t>浉河区干部档案室</w:t>
      </w:r>
    </w:p>
    <w:p>
      <w:pPr>
        <w:numPr>
          <w:ilvl w:val="0"/>
          <w:numId w:val="6"/>
        </w:numPr>
        <w:spacing w:line="360" w:lineRule="auto"/>
        <w:ind w:firstLine="640" w:firstLineChars="200"/>
        <w:jc w:val="left"/>
        <w:rPr>
          <w:rFonts w:cs="仿宋_GB2312" w:asciiTheme="minorEastAsia" w:hAnsiTheme="minorEastAsia"/>
          <w:sz w:val="32"/>
          <w:szCs w:val="32"/>
        </w:rPr>
      </w:pPr>
      <w:r>
        <w:rPr>
          <w:rFonts w:hint="eastAsia" w:cs="仿宋_GB2312" w:asciiTheme="minorEastAsia" w:hAnsiTheme="minorEastAsia"/>
          <w:sz w:val="32"/>
          <w:szCs w:val="32"/>
        </w:rPr>
        <w:t>浉河区军转干部服务中心</w:t>
      </w:r>
    </w:p>
    <w:p>
      <w:pPr>
        <w:spacing w:line="360" w:lineRule="auto"/>
        <w:ind w:firstLine="640" w:firstLineChars="200"/>
        <w:jc w:val="left"/>
        <w:outlineLvl w:val="1"/>
        <w:rPr>
          <w:rFonts w:cs="仿宋_GB2312" w:asciiTheme="minorEastAsia" w:hAnsiTheme="minorEastAsia"/>
          <w:sz w:val="32"/>
          <w:szCs w:val="32"/>
        </w:rPr>
      </w:pPr>
      <w:r>
        <w:rPr>
          <w:rFonts w:hint="eastAsia" w:cs="仿宋_GB2312" w:asciiTheme="minorEastAsia" w:hAnsiTheme="minorEastAsia"/>
          <w:sz w:val="32"/>
          <w:szCs w:val="32"/>
        </w:rPr>
        <w:t>4、浉河区人力资源和社会保障信息中心</w:t>
      </w:r>
    </w:p>
    <w:p>
      <w:pPr>
        <w:spacing w:line="360" w:lineRule="auto"/>
        <w:ind w:firstLine="640" w:firstLineChars="200"/>
        <w:jc w:val="left"/>
        <w:rPr>
          <w:rFonts w:cs="仿宋_GB2312" w:asciiTheme="minorEastAsia" w:hAnsiTheme="minorEastAsia"/>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cs="隶书" w:asciiTheme="minorEastAsia" w:hAnsiTheme="minorEastAsia"/>
          <w:sz w:val="48"/>
          <w:szCs w:val="48"/>
        </w:rPr>
      </w:pPr>
      <w:r>
        <w:rPr>
          <w:rFonts w:hint="eastAsia" w:cs="隶书" w:asciiTheme="minorEastAsia" w:hAnsiTheme="minorEastAsia"/>
          <w:sz w:val="48"/>
          <w:szCs w:val="48"/>
        </w:rPr>
        <w:t>第二部分</w:t>
      </w:r>
    </w:p>
    <w:p>
      <w:pPr>
        <w:ind w:firstLine="2880" w:firstLineChars="600"/>
        <w:rPr>
          <w:rFonts w:cs="隶书" w:asciiTheme="minorEastAsia" w:hAnsiTheme="minorEastAsia"/>
          <w:sz w:val="48"/>
          <w:szCs w:val="48"/>
        </w:rPr>
      </w:pPr>
      <w:r>
        <w:rPr>
          <w:rFonts w:hint="eastAsia" w:cs="隶书" w:asciiTheme="minorEastAsia" w:hAnsiTheme="minorEastAsia"/>
          <w:sz w:val="48"/>
          <w:szCs w:val="48"/>
        </w:rPr>
        <w:t>浉河区人社局</w:t>
      </w:r>
    </w:p>
    <w:p>
      <w:pPr>
        <w:jc w:val="center"/>
        <w:rPr>
          <w:rFonts w:cs="隶书" w:asciiTheme="minorEastAsia" w:hAnsiTheme="minorEastAsia"/>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cs="隶书" w:asciiTheme="minorEastAsia" w:hAnsiTheme="minorEastAsia"/>
          <w:sz w:val="48"/>
          <w:szCs w:val="48"/>
        </w:rPr>
        <w:t>2017年度部门决算情况说明</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关于收入支出决算总体情况说明</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2017年度收入总计976.11万元，支出总计976.11万元，与2016年相比，收、支总计各增加256.71万元，增长35%。主要原因：2017年事业单位招聘工作人员人数多次数多，以及军转干部费用支出增加。</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关于收入决算</w:t>
      </w:r>
      <w:r>
        <w:rPr>
          <w:rFonts w:hint="eastAsia" w:asciiTheme="minorEastAsia" w:hAnsiTheme="minorEastAsia"/>
          <w:i/>
          <w:sz w:val="32"/>
          <w:szCs w:val="32"/>
        </w:rPr>
        <w:t>情况说</w:t>
      </w:r>
      <w:r>
        <w:rPr>
          <w:rFonts w:hint="eastAsia" w:asciiTheme="minorEastAsia" w:hAnsiTheme="minorEastAsia"/>
          <w:sz w:val="32"/>
          <w:szCs w:val="32"/>
        </w:rPr>
        <w:t>明</w:t>
      </w:r>
    </w:p>
    <w:p>
      <w:pPr>
        <w:adjustRightInd w:val="0"/>
        <w:snapToGrid w:val="0"/>
        <w:spacing w:line="360" w:lineRule="auto"/>
        <w:ind w:firstLine="640" w:firstLineChars="200"/>
        <w:rPr>
          <w:rFonts w:asciiTheme="minorEastAsia" w:hAnsiTheme="minorEastAsia"/>
          <w:sz w:val="32"/>
          <w:szCs w:val="32"/>
        </w:rPr>
      </w:pPr>
      <w:r>
        <w:rPr>
          <w:rFonts w:hint="eastAsia" w:cs="Courier New" w:asciiTheme="minorEastAsia" w:hAnsiTheme="minorEastAsia"/>
          <w:sz w:val="32"/>
          <w:szCs w:val="32"/>
        </w:rPr>
        <w:t>2017年度</w:t>
      </w:r>
      <w:r>
        <w:rPr>
          <w:rFonts w:hint="eastAsia" w:asciiTheme="minorEastAsia" w:hAnsiTheme="minorEastAsia"/>
          <w:sz w:val="32"/>
          <w:szCs w:val="32"/>
        </w:rPr>
        <w:t>收入合计976.11万元，其中：财政拨款收入936.11万元，占</w:t>
      </w:r>
      <w:r>
        <w:rPr>
          <w:rFonts w:hint="eastAsia" w:cs="Courier New" w:asciiTheme="minorEastAsia" w:hAnsiTheme="minorEastAsia"/>
          <w:sz w:val="32"/>
          <w:szCs w:val="32"/>
        </w:rPr>
        <w:t>96%，</w:t>
      </w:r>
      <w:r>
        <w:rPr>
          <w:rFonts w:hint="eastAsia" w:asciiTheme="minorEastAsia" w:hAnsiTheme="minorEastAsia"/>
          <w:sz w:val="32"/>
          <w:szCs w:val="32"/>
        </w:rPr>
        <w:t>非税收入40万元，占</w:t>
      </w:r>
      <w:r>
        <w:rPr>
          <w:rFonts w:hint="eastAsia" w:cs="Courier New" w:asciiTheme="minorEastAsia" w:hAnsiTheme="minorEastAsia"/>
          <w:sz w:val="32"/>
          <w:szCs w:val="32"/>
        </w:rPr>
        <w:t>4%</w:t>
      </w:r>
      <w:r>
        <w:rPr>
          <w:rFonts w:hint="eastAsia" w:asciiTheme="minorEastAsia" w:hAnsiTheme="minorEastAsia"/>
          <w:sz w:val="32"/>
          <w:szCs w:val="32"/>
        </w:rPr>
        <w:t>。</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关于支出决算情况说明</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2017年度支出合计976.11万元，其中：基本支出976.11万元。</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关于财政拨款收入支出决算总体情况说明</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2017年财政拨款收支总决算936.11万元。与2016年相比，财政拨款收、支总计各增加256.71万元，增长37%。</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关于一般公共预算财政拨款支出决算情况说明</w:t>
      </w:r>
    </w:p>
    <w:p>
      <w:pPr>
        <w:numPr>
          <w:ilvl w:val="0"/>
          <w:numId w:val="8"/>
        </w:numPr>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财政拨款支出决算总体情况。</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2017年一般公共预算财政拨款支出976.11万元，占支出合计的100%。与2016年相比，一般公共预算财政拨款支出增加256.71万元，增长35%。</w:t>
      </w:r>
    </w:p>
    <w:p>
      <w:pPr>
        <w:numPr>
          <w:ilvl w:val="0"/>
          <w:numId w:val="8"/>
        </w:numPr>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财政拨款支出决算结构情况。</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2017年度一般公共预算财政拨款支出976.11万元，主要用于以下方面：</w:t>
      </w:r>
      <w:r>
        <w:rPr>
          <w:rFonts w:hint="eastAsia" w:cs="Courier New" w:asciiTheme="minorEastAsia" w:hAnsiTheme="minorEastAsia"/>
          <w:b/>
          <w:bCs/>
          <w:sz w:val="32"/>
          <w:szCs w:val="32"/>
        </w:rPr>
        <w:t>一般公共服务（类）</w:t>
      </w:r>
      <w:r>
        <w:rPr>
          <w:rFonts w:hint="eastAsia" w:cs="Courier New" w:asciiTheme="minorEastAsia" w:hAnsiTheme="minorEastAsia"/>
          <w:sz w:val="32"/>
          <w:szCs w:val="32"/>
        </w:rPr>
        <w:t>支出469.88万元，占48%；</w:t>
      </w:r>
      <w:r>
        <w:rPr>
          <w:rFonts w:hint="eastAsia" w:cs="Courier New" w:asciiTheme="minorEastAsia" w:hAnsiTheme="minorEastAsia"/>
          <w:b/>
          <w:bCs/>
          <w:sz w:val="32"/>
          <w:szCs w:val="32"/>
        </w:rPr>
        <w:t>社会保障和就业</w:t>
      </w:r>
      <w:r>
        <w:rPr>
          <w:rFonts w:hint="eastAsia" w:cs="Courier New" w:asciiTheme="minorEastAsia" w:hAnsiTheme="minorEastAsia"/>
          <w:sz w:val="32"/>
          <w:szCs w:val="32"/>
        </w:rPr>
        <w:t>支出506.23万元，占52%。</w:t>
      </w:r>
    </w:p>
    <w:p>
      <w:pPr>
        <w:numPr>
          <w:ilvl w:val="0"/>
          <w:numId w:val="8"/>
        </w:numPr>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财政拨款支出决算具体情况。</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2017年度一般公共预算财政拨款支出年初预算为991万元，支出决算为976.11万元，完成年初预算的98.5%。</w:t>
      </w:r>
    </w:p>
    <w:p>
      <w:pPr>
        <w:numPr>
          <w:ilvl w:val="0"/>
          <w:numId w:val="9"/>
        </w:numPr>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一般公共服务（类）财政事务（款）行政运行（项）。</w:t>
      </w:r>
      <w:r>
        <w:rPr>
          <w:rFonts w:hint="eastAsia" w:cs="Courier New" w:asciiTheme="minorEastAsia" w:hAnsiTheme="minorEastAsia"/>
          <w:sz w:val="32"/>
          <w:szCs w:val="32"/>
        </w:rPr>
        <w:t>年初预算为445万元，支出决算为441.41万元，完成年初预算的99%。</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关于一般公共预算财政拨款基本支出决算情况说明</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2017年一般公共预算财政拨款基本支出976.11万元，其中：</w:t>
      </w:r>
      <w:r>
        <w:rPr>
          <w:rFonts w:hint="eastAsia" w:cs="仿宋_GB2312" w:asciiTheme="minorEastAsia" w:hAnsiTheme="minorEastAsia"/>
          <w:bCs/>
          <w:spacing w:val="-1"/>
          <w:kern w:val="0"/>
          <w:sz w:val="32"/>
          <w:szCs w:val="32"/>
        </w:rPr>
        <w:t>人员经费863.31万元</w:t>
      </w:r>
      <w:r>
        <w:rPr>
          <w:rFonts w:hint="eastAsia" w:cs="Courier New" w:asciiTheme="minorEastAsia" w:hAnsiTheme="minorEastAsia"/>
          <w:bCs/>
          <w:sz w:val="32"/>
          <w:szCs w:val="32"/>
        </w:rPr>
        <w:t>，</w:t>
      </w:r>
      <w:r>
        <w:rPr>
          <w:rFonts w:hint="eastAsia" w:cs="Courier New" w:asciiTheme="minorEastAsia" w:hAnsiTheme="minorEastAsia"/>
          <w:sz w:val="32"/>
          <w:szCs w:val="32"/>
        </w:rPr>
        <w:t>主要包括：基本工资、津贴补贴、社会保障缴费、绩效工资、离休费、费、死亡抚恤金、军转干部支出等；</w:t>
      </w:r>
      <w:r>
        <w:rPr>
          <w:rFonts w:hint="eastAsia" w:cs="仿宋_GB2312" w:asciiTheme="minorEastAsia" w:hAnsiTheme="minorEastAsia"/>
          <w:b/>
          <w:spacing w:val="-1"/>
          <w:kern w:val="0"/>
          <w:sz w:val="32"/>
          <w:szCs w:val="32"/>
        </w:rPr>
        <w:t>公用经费</w:t>
      </w:r>
      <w:r>
        <w:rPr>
          <w:rFonts w:hint="eastAsia" w:cs="仿宋_GB2312" w:asciiTheme="minorEastAsia" w:hAnsiTheme="minorEastAsia"/>
          <w:spacing w:val="-2"/>
          <w:kern w:val="0"/>
          <w:sz w:val="32"/>
          <w:szCs w:val="32"/>
        </w:rPr>
        <w:t>112.80万元</w:t>
      </w:r>
      <w:r>
        <w:rPr>
          <w:rFonts w:hint="eastAsia" w:cs="Courier New" w:asciiTheme="minorEastAsia" w:hAnsiTheme="minorEastAsia"/>
          <w:sz w:val="32"/>
          <w:szCs w:val="32"/>
        </w:rPr>
        <w:t>，主要包括：办公费、水电费、邮电费、办公设置购置、事业单位招聘办公费、差旅费、加班工作餐等。</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关于一般公共预算财政拨款“三公”经费支出决算情况说明</w:t>
      </w:r>
    </w:p>
    <w:p>
      <w:pPr>
        <w:numPr>
          <w:ilvl w:val="0"/>
          <w:numId w:val="10"/>
        </w:numPr>
        <w:kinsoku w:val="0"/>
        <w:overflowPunct w:val="0"/>
        <w:autoSpaceDE w:val="0"/>
        <w:autoSpaceDN w:val="0"/>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2017年度“三公”经费财政拨款支出预算为8万元，支出决算为7.65万元，完成预算的95.6%，当年无因公出国（境）费支出和公务用车购置及运行费支出，7.65万元“三公”经费支出大部分属平时加班用餐</w:t>
      </w:r>
      <w:r>
        <w:rPr>
          <w:rFonts w:hint="eastAsia" w:cs="Courier New" w:asciiTheme="minorEastAsia" w:hAnsiTheme="minorEastAsia"/>
          <w:sz w:val="32"/>
          <w:szCs w:val="32"/>
          <w:lang w:eastAsia="zh-CN"/>
        </w:rPr>
        <w:t>，</w:t>
      </w:r>
      <w:r>
        <w:rPr>
          <w:rFonts w:hint="eastAsia" w:cs="Courier New" w:asciiTheme="minorEastAsia" w:hAnsiTheme="minorEastAsia"/>
          <w:b/>
          <w:bCs/>
          <w:sz w:val="32"/>
          <w:szCs w:val="32"/>
          <w:lang w:eastAsia="zh-CN"/>
        </w:rPr>
        <w:t>计</w:t>
      </w:r>
      <w:r>
        <w:rPr>
          <w:rFonts w:hint="eastAsia" w:cs="Courier New" w:asciiTheme="minorEastAsia" w:hAnsiTheme="minorEastAsia"/>
          <w:b/>
          <w:bCs/>
          <w:sz w:val="32"/>
          <w:szCs w:val="32"/>
          <w:lang w:val="en-US" w:eastAsia="zh-CN"/>
        </w:rPr>
        <w:t>102批次，1200人次</w:t>
      </w:r>
      <w:r>
        <w:rPr>
          <w:rFonts w:hint="eastAsia" w:cs="Courier New" w:asciiTheme="minorEastAsia" w:hAnsiTheme="minorEastAsia"/>
          <w:sz w:val="32"/>
          <w:szCs w:val="32"/>
          <w:lang w:val="en-US" w:eastAsia="zh-CN"/>
        </w:rPr>
        <w:t>。</w:t>
      </w:r>
      <w:r>
        <w:rPr>
          <w:rFonts w:hint="eastAsia" w:cs="Courier New" w:asciiTheme="minorEastAsia" w:hAnsiTheme="minorEastAsia"/>
          <w:sz w:val="32"/>
          <w:szCs w:val="32"/>
        </w:rPr>
        <w:t>2017年度“三公”经费财政拨款支出决算数比2016年减少0.85万元，下降10%。</w:t>
      </w:r>
    </w:p>
    <w:p>
      <w:pPr>
        <w:numPr>
          <w:ilvl w:val="0"/>
          <w:numId w:val="10"/>
        </w:numPr>
        <w:kinsoku w:val="0"/>
        <w:overflowPunct w:val="0"/>
        <w:autoSpaceDE w:val="0"/>
        <w:autoSpaceDN w:val="0"/>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2017年度“三公”经费财政拨款支出决算中，无因公出国（境）费支出和公务用车购置及运行费支出，</w:t>
      </w:r>
      <w:r>
        <w:rPr>
          <w:rFonts w:hint="eastAsia" w:cs="Courier New" w:asciiTheme="minorEastAsia" w:hAnsiTheme="minorEastAsia"/>
          <w:sz w:val="32"/>
          <w:szCs w:val="32"/>
          <w:lang w:eastAsia="zh-CN"/>
        </w:rPr>
        <w:t>公车保有量为</w:t>
      </w:r>
      <w:r>
        <w:rPr>
          <w:rFonts w:hint="eastAsia" w:cs="Courier New" w:asciiTheme="minorEastAsia" w:hAnsiTheme="minorEastAsia"/>
          <w:sz w:val="32"/>
          <w:szCs w:val="32"/>
          <w:lang w:val="en-US" w:eastAsia="zh-CN"/>
        </w:rPr>
        <w:t>0，</w:t>
      </w:r>
      <w:r>
        <w:rPr>
          <w:rFonts w:hint="eastAsia" w:cs="Courier New" w:asciiTheme="minorEastAsia" w:hAnsiTheme="minorEastAsia"/>
          <w:sz w:val="32"/>
          <w:szCs w:val="32"/>
        </w:rPr>
        <w:t>公务接待费支出决算7.65元，占100%，且大部分属平时加班工作用餐。</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关于预算绩效情况说明</w:t>
      </w:r>
    </w:p>
    <w:p>
      <w:pPr>
        <w:numPr>
          <w:ilvl w:val="0"/>
          <w:numId w:val="11"/>
        </w:numPr>
        <w:kinsoku w:val="0"/>
        <w:overflowPunct w:val="0"/>
        <w:autoSpaceDE w:val="0"/>
        <w:autoSpaceDN w:val="0"/>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绩效管理工作开展情况。</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根据财政预算管理要求，本单位对2017年度一般公共预算项目支出全面开展绩效自评。其中，一级项目1个，二级项目1个，共涉及预算资金976.11万元，自评覆盖率达到100%。</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关于政府性基金预算财政拨款支出决算情况说明</w:t>
      </w:r>
    </w:p>
    <w:p>
      <w:pPr>
        <w:adjustRightInd w:val="0"/>
        <w:snapToGrid w:val="0"/>
        <w:spacing w:line="360" w:lineRule="auto"/>
        <w:ind w:left="420" w:leftChars="200" w:firstLine="160" w:firstLineChars="50"/>
        <w:rPr>
          <w:rFonts w:cs="Courier New" w:asciiTheme="minorEastAsia" w:hAnsiTheme="minorEastAsia"/>
          <w:sz w:val="32"/>
          <w:szCs w:val="32"/>
        </w:rPr>
      </w:pPr>
      <w:r>
        <w:rPr>
          <w:rFonts w:hint="eastAsia" w:cs="Courier New" w:asciiTheme="minorEastAsia" w:hAnsiTheme="minorEastAsia"/>
          <w:sz w:val="32"/>
          <w:szCs w:val="32"/>
        </w:rPr>
        <w:t>2017年本单位没有政府性基金预算财政拨款收入支出。</w:t>
      </w:r>
    </w:p>
    <w:p>
      <w:pPr>
        <w:numPr>
          <w:ilvl w:val="0"/>
          <w:numId w:val="7"/>
        </w:num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其他重要事项的情况说明</w:t>
      </w:r>
    </w:p>
    <w:p>
      <w:pPr>
        <w:numPr>
          <w:ilvl w:val="0"/>
          <w:numId w:val="12"/>
        </w:numPr>
        <w:kinsoku w:val="0"/>
        <w:overflowPunct w:val="0"/>
        <w:autoSpaceDE w:val="0"/>
        <w:autoSpaceDN w:val="0"/>
        <w:adjustRightInd w:val="0"/>
        <w:snapToGrid w:val="0"/>
        <w:spacing w:line="360" w:lineRule="auto"/>
        <w:ind w:firstLine="640" w:firstLineChars="200"/>
        <w:rPr>
          <w:rFonts w:cs="黑体" w:asciiTheme="minorEastAsia" w:hAnsiTheme="minorEastAsia"/>
          <w:bCs/>
          <w:kern w:val="0"/>
          <w:sz w:val="32"/>
          <w:szCs w:val="32"/>
        </w:rPr>
      </w:pPr>
      <w:r>
        <w:rPr>
          <w:rFonts w:hint="eastAsia" w:cs="仿宋_GB2312" w:asciiTheme="minorEastAsia" w:hAnsiTheme="minorEastAsia"/>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2017年度机关运行经费支出110万元，比2016年减少3万元，下降2.7</w:t>
      </w:r>
      <w:r>
        <w:rPr>
          <w:rFonts w:cs="Courier New" w:asciiTheme="minorEastAsia" w:hAnsiTheme="minorEastAsia"/>
          <w:sz w:val="32"/>
          <w:szCs w:val="32"/>
        </w:rPr>
        <w:t>%</w:t>
      </w:r>
      <w:r>
        <w:rPr>
          <w:rFonts w:hint="eastAsia" w:cs="Courier New" w:asciiTheme="minorEastAsia" w:hAnsiTheme="minorEastAsia"/>
          <w:sz w:val="32"/>
          <w:szCs w:val="32"/>
        </w:rPr>
        <w:t>。</w:t>
      </w:r>
    </w:p>
    <w:p>
      <w:pPr>
        <w:numPr>
          <w:ilvl w:val="0"/>
          <w:numId w:val="12"/>
        </w:numPr>
        <w:kinsoku w:val="0"/>
        <w:overflowPunct w:val="0"/>
        <w:autoSpaceDE w:val="0"/>
        <w:autoSpaceDN w:val="0"/>
        <w:adjustRightInd w:val="0"/>
        <w:snapToGrid w:val="0"/>
        <w:spacing w:line="360" w:lineRule="auto"/>
        <w:ind w:firstLine="640" w:firstLineChars="200"/>
        <w:rPr>
          <w:rFonts w:cs="仿宋_GB2312" w:asciiTheme="minorEastAsia" w:hAnsiTheme="minorEastAsia"/>
          <w:bCs/>
          <w:kern w:val="0"/>
          <w:sz w:val="32"/>
          <w:szCs w:val="32"/>
        </w:rPr>
      </w:pPr>
      <w:r>
        <w:rPr>
          <w:rFonts w:hint="eastAsia" w:cs="仿宋_GB2312" w:asciiTheme="minorEastAsia" w:hAnsiTheme="minorEastAsia"/>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2017年度政府采购支出总额6.5万元，其中：政府采购货物支出6.5万元。占政府采购支出的100</w:t>
      </w:r>
      <w:r>
        <w:rPr>
          <w:rFonts w:cs="Courier New" w:asciiTheme="minorEastAsia" w:hAnsiTheme="minorEastAsia"/>
          <w:sz w:val="32"/>
          <w:szCs w:val="32"/>
        </w:rPr>
        <w:t>%</w:t>
      </w:r>
      <w:r>
        <w:rPr>
          <w:rFonts w:hint="eastAsia" w:cs="Courier New" w:asciiTheme="minorEastAsia" w:hAnsiTheme="minorEastAsia"/>
          <w:sz w:val="32"/>
          <w:szCs w:val="32"/>
        </w:rPr>
        <w:t>。</w:t>
      </w:r>
    </w:p>
    <w:p>
      <w:pPr>
        <w:kinsoku w:val="0"/>
        <w:overflowPunct w:val="0"/>
        <w:autoSpaceDE w:val="0"/>
        <w:autoSpaceDN w:val="0"/>
        <w:adjustRightInd w:val="0"/>
        <w:snapToGrid w:val="0"/>
        <w:spacing w:line="360" w:lineRule="auto"/>
        <w:rPr>
          <w:rFonts w:cs="Courier New" w:asciiTheme="minorEastAsia" w:hAnsiTheme="minorEastAsia"/>
          <w:sz w:val="32"/>
          <w:szCs w:val="32"/>
        </w:rPr>
      </w:pPr>
      <w:r>
        <w:rPr>
          <w:rFonts w:hint="eastAsia" w:cs="Courier New" w:asciiTheme="minorEastAsia" w:hAnsiTheme="minorEastAsia"/>
          <w:sz w:val="32"/>
          <w:szCs w:val="32"/>
        </w:rPr>
        <w:t xml:space="preserve">  （三）国有资产占用情况。</w:t>
      </w:r>
    </w:p>
    <w:p>
      <w:pPr>
        <w:spacing w:line="600" w:lineRule="exact"/>
        <w:rPr>
          <w:rFonts w:cs="Courier New" w:asciiTheme="minorEastAsia" w:hAnsiTheme="minorEastAsia"/>
          <w:sz w:val="32"/>
          <w:szCs w:val="32"/>
        </w:rPr>
      </w:pPr>
      <w:r>
        <w:rPr>
          <w:rFonts w:hint="eastAsia" w:cs="Courier New" w:asciiTheme="minorEastAsia" w:hAnsiTheme="minorEastAsia"/>
          <w:sz w:val="32"/>
          <w:szCs w:val="32"/>
        </w:rPr>
        <w:t>2017年期末，区人社局共有车辆0辆；办公用房420平方米，16间，其它用房200平方米，3间。</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sectPr>
          <w:pgSz w:w="11905" w:h="16840"/>
          <w:pgMar w:top="1580" w:right="1240" w:bottom="1180" w:left="1400" w:header="0" w:footer="982" w:gutter="0"/>
          <w:pgNumType w:fmt="numberInDash"/>
          <w:cols w:space="720" w:num="1"/>
        </w:sect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center"/>
        <w:outlineLvl w:val="0"/>
        <w:rPr>
          <w:rFonts w:cs="隶书" w:asciiTheme="minorEastAsia" w:hAnsiTheme="minorEastAsia"/>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cs="隶书" w:asciiTheme="minorEastAsia" w:hAnsiTheme="minorEastAsia"/>
          <w:sz w:val="48"/>
          <w:szCs w:val="48"/>
        </w:rPr>
        <w:t>第三部分　　名词解释</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财政拨款收入：</w:t>
      </w:r>
      <w:r>
        <w:rPr>
          <w:rFonts w:hint="eastAsia" w:cs="Courier New" w:asciiTheme="minorEastAsia" w:hAnsiTheme="minorEastAsia"/>
          <w:sz w:val="32"/>
          <w:szCs w:val="32"/>
        </w:rPr>
        <w:t>是指省级财政当年拨付的资金。</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事业收入：</w:t>
      </w:r>
      <w:r>
        <w:rPr>
          <w:rFonts w:hint="eastAsia" w:cs="Courier New" w:asciiTheme="minorEastAsia" w:hAnsiTheme="minorEastAsia"/>
          <w:sz w:val="32"/>
          <w:szCs w:val="32"/>
        </w:rPr>
        <w:t>是指事业单位开展专业业务活动及辅助活动所取得的收入。如：ＸＸ刊物发行收入，ＸＸ协会收取的会费收入等。</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经营收入：</w:t>
      </w:r>
      <w:r>
        <w:rPr>
          <w:rFonts w:hint="eastAsia" w:cs="Courier New" w:asciiTheme="minorEastAsia" w:hAnsiTheme="minorEastAsia"/>
          <w:sz w:val="32"/>
          <w:szCs w:val="32"/>
        </w:rPr>
        <w:t>指事业单位在专业业务活动及其辅助活动之外开展非独立核算经营活动取得的收入。如：ＸＸ杂志社广告收入等。</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其他收入：</w:t>
      </w:r>
      <w:r>
        <w:rPr>
          <w:rFonts w:hint="eastAsia" w:cs="Courier New" w:asciiTheme="minorEastAsia" w:hAnsiTheme="minorEastAsia"/>
          <w:sz w:val="32"/>
          <w:szCs w:val="32"/>
        </w:rPr>
        <w:t>指除上述“财政拨款收入”、“事业收入”、“事业单位经营收入”、“经营收入”等以外的收入。主要是按规定动用的售房收入、存款利息收入等。</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用事业基金弥补收支差额：</w:t>
      </w:r>
      <w:r>
        <w:rPr>
          <w:rFonts w:hint="eastAsia" w:cs="Courier New" w:asciiTheme="minorEastAsia" w:hAnsiTheme="minor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cs="Courier New" w:asciiTheme="minorEastAsia" w:hAnsiTheme="minorEastAsia"/>
          <w:b/>
          <w:bCs/>
          <w:sz w:val="32"/>
          <w:szCs w:val="32"/>
        </w:rPr>
        <w:t>。</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年初结转和结余：</w:t>
      </w:r>
      <w:r>
        <w:rPr>
          <w:rFonts w:hint="eastAsia" w:cs="Courier New" w:asciiTheme="minorEastAsia" w:hAnsiTheme="minorEastAsia"/>
          <w:sz w:val="32"/>
          <w:szCs w:val="32"/>
        </w:rPr>
        <w:t>指以前年度尚未完成、结转到本年按有关规定继续使用的资金。</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一般公共服务（类）财政事务（款）行政运行（项）</w:t>
      </w:r>
      <w:r>
        <w:rPr>
          <w:rFonts w:hint="eastAsia" w:cs="Courier New" w:asciiTheme="minorEastAsia" w:hAnsiTheme="minorEastAsia"/>
          <w:b/>
          <w:bCs/>
          <w:color w:val="FF0000"/>
          <w:sz w:val="32"/>
          <w:szCs w:val="32"/>
        </w:rPr>
        <w:t>（请根据单位实际情况，参照《2017年政府收支分类科目》和对口中央部门决算公开信息填写）</w:t>
      </w:r>
      <w:r>
        <w:rPr>
          <w:rFonts w:hint="eastAsia" w:cs="Courier New" w:asciiTheme="minorEastAsia" w:hAnsiTheme="minorEastAsia"/>
          <w:b/>
          <w:bCs/>
          <w:sz w:val="32"/>
          <w:szCs w:val="32"/>
        </w:rPr>
        <w:t>：</w:t>
      </w:r>
      <w:r>
        <w:rPr>
          <w:rFonts w:hint="eastAsia" w:cs="Courier New" w:asciiTheme="minorEastAsia" w:hAnsiTheme="minorEastAsia"/>
          <w:sz w:val="32"/>
          <w:szCs w:val="32"/>
        </w:rPr>
        <w:t>是指ＸＸ厅（局）用于保障机构正常运行、开展日常工作的基本支出。</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一般公共服务（类）财政事务（款）一般行政管理事务（项）：</w:t>
      </w:r>
      <w:r>
        <w:rPr>
          <w:rFonts w:hint="eastAsia" w:cs="Courier New" w:asciiTheme="minorEastAsia" w:hAnsiTheme="minorEastAsia"/>
          <w:sz w:val="32"/>
          <w:szCs w:val="32"/>
        </w:rPr>
        <w:t>指ＸＸ厅（局）行政单位及参照公务员法管理的事业单位开展财政立法、决算编审、资产产权管理等未单独设置项级科目的专门性财政管理工作的项目支出。</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bookmarkStart w:id="0" w:name="_GoBack"/>
      <w:bookmarkEnd w:id="0"/>
      <w:r>
        <w:rPr>
          <w:rFonts w:hint="eastAsia" w:cs="Courier New" w:asciiTheme="minorEastAsia" w:hAnsiTheme="minorEastAsia"/>
          <w:b/>
          <w:bCs/>
          <w:sz w:val="32"/>
          <w:szCs w:val="32"/>
        </w:rPr>
        <w:t>结余分配：</w:t>
      </w:r>
      <w:r>
        <w:rPr>
          <w:rFonts w:hint="eastAsia" w:cs="Courier New" w:asciiTheme="minorEastAsia" w:hAnsiTheme="minorEastAsia"/>
          <w:sz w:val="32"/>
          <w:szCs w:val="32"/>
        </w:rPr>
        <w:t>指事业单位按规定提取的职工福利基金、事业基金和缴纳的所得税，以及建设单位按规定应交回的基本建设竣工项目结余资金。</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年末结转和结余：</w:t>
      </w:r>
      <w:r>
        <w:rPr>
          <w:rFonts w:hint="eastAsia" w:cs="Courier New" w:asciiTheme="minorEastAsia" w:hAnsiTheme="minorEastAsia"/>
          <w:sz w:val="32"/>
          <w:szCs w:val="32"/>
        </w:rPr>
        <w:t>指本年度或以前年度预算安排、因客观条件发生变化无法按原计划实施，需延迟到以后年度按有关规定继续使用的资金。</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基本支出：</w:t>
      </w:r>
      <w:r>
        <w:rPr>
          <w:rFonts w:hint="eastAsia" w:cs="Courier New" w:asciiTheme="minorEastAsia" w:hAnsiTheme="minorEastAsia"/>
          <w:sz w:val="32"/>
          <w:szCs w:val="32"/>
        </w:rPr>
        <w:t>指为保障机构正常运转、完成日常工作任务而发生的人员支出和公用支出。</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项目支出：</w:t>
      </w:r>
      <w:r>
        <w:rPr>
          <w:rFonts w:hint="eastAsia" w:cs="Courier New" w:asciiTheme="minorEastAsia" w:hAnsiTheme="minorEastAsia"/>
          <w:sz w:val="32"/>
          <w:szCs w:val="32"/>
        </w:rPr>
        <w:t>指在基本支出之外为完成特定行政任务和事业发展目标所发生的支出。</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经营支出：</w:t>
      </w:r>
      <w:r>
        <w:rPr>
          <w:rFonts w:hint="eastAsia" w:cs="Courier New" w:asciiTheme="minorEastAsia" w:hAnsiTheme="minorEastAsia"/>
          <w:sz w:val="32"/>
          <w:szCs w:val="32"/>
        </w:rPr>
        <w:t>指事业单位在专业业务活动及其辅助活动之外开展非独立核算经营活动发生的支出。</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“三公”经费：</w:t>
      </w:r>
      <w:r>
        <w:rPr>
          <w:rFonts w:hint="eastAsia" w:cs="Courier New" w:asciiTheme="minorEastAsia" w:hAnsiTheme="minorEastAsia"/>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3"/>
        </w:num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机关运行经费：</w:t>
      </w:r>
      <w:r>
        <w:rPr>
          <w:rFonts w:hint="eastAsia" w:cs="Courier New" w:asciiTheme="minorEastAsia" w:hAnsiTheme="minor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Theme="minorEastAsia" w:hAnsiTheme="minorEastAsia"/>
          <w:sz w:val="32"/>
          <w:szCs w:val="32"/>
        </w:rPr>
      </w:pPr>
    </w:p>
    <w:p>
      <w:pPr>
        <w:rPr>
          <w:rFonts w:cs="隶书" w:asciiTheme="minorEastAsia" w:hAnsiTheme="minorEastAsia"/>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8304E"/>
    <w:multiLevelType w:val="multilevel"/>
    <w:tmpl w:val="3C18304E"/>
    <w:lvl w:ilvl="0" w:tentative="0">
      <w:start w:val="1"/>
      <w:numFmt w:val="japaneseCounting"/>
      <w:lvlText w:val="第%1部"/>
      <w:lvlJc w:val="left"/>
      <w:pPr>
        <w:ind w:left="1920" w:hanging="19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7">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8">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EDEF"/>
    <w:multiLevelType w:val="singleLevel"/>
    <w:tmpl w:val="5971EDEF"/>
    <w:lvl w:ilvl="0" w:tentative="0">
      <w:start w:val="1"/>
      <w:numFmt w:val="chineseCounting"/>
      <w:suff w:val="nothing"/>
      <w:lvlText w:val="（%1）"/>
      <w:lvlJc w:val="left"/>
      <w:pPr>
        <w:ind w:left="-420" w:firstLine="420"/>
      </w:pPr>
      <w:rPr>
        <w:rFonts w:hint="eastAsia"/>
      </w:rPr>
    </w:lvl>
  </w:abstractNum>
  <w:abstractNum w:abstractNumId="11">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12">
    <w:nsid w:val="7A12504E"/>
    <w:multiLevelType w:val="multilevel"/>
    <w:tmpl w:val="7A12504E"/>
    <w:lvl w:ilvl="0" w:tentative="0">
      <w:start w:val="1"/>
      <w:numFmt w:val="japaneseCounting"/>
      <w:lvlText w:val="第%1部"/>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7569"/>
    <w:rsid w:val="00042323"/>
    <w:rsid w:val="00061C2E"/>
    <w:rsid w:val="000B7ED1"/>
    <w:rsid w:val="000C248E"/>
    <w:rsid w:val="000C3E7A"/>
    <w:rsid w:val="001373EA"/>
    <w:rsid w:val="00172A27"/>
    <w:rsid w:val="001C1945"/>
    <w:rsid w:val="00207DD2"/>
    <w:rsid w:val="002162C4"/>
    <w:rsid w:val="0024228E"/>
    <w:rsid w:val="0029288D"/>
    <w:rsid w:val="0029394A"/>
    <w:rsid w:val="002E38FE"/>
    <w:rsid w:val="002F0A08"/>
    <w:rsid w:val="003F3B0E"/>
    <w:rsid w:val="00427986"/>
    <w:rsid w:val="00435F65"/>
    <w:rsid w:val="00473E77"/>
    <w:rsid w:val="004813EF"/>
    <w:rsid w:val="005203BD"/>
    <w:rsid w:val="00542EA6"/>
    <w:rsid w:val="00574FE2"/>
    <w:rsid w:val="00576590"/>
    <w:rsid w:val="005A020A"/>
    <w:rsid w:val="00630D31"/>
    <w:rsid w:val="00634913"/>
    <w:rsid w:val="0066425C"/>
    <w:rsid w:val="00687E06"/>
    <w:rsid w:val="006A353C"/>
    <w:rsid w:val="006A695D"/>
    <w:rsid w:val="006F4686"/>
    <w:rsid w:val="0073383F"/>
    <w:rsid w:val="007374F8"/>
    <w:rsid w:val="007377C1"/>
    <w:rsid w:val="007433A7"/>
    <w:rsid w:val="007F60A4"/>
    <w:rsid w:val="00802069"/>
    <w:rsid w:val="00803287"/>
    <w:rsid w:val="00811E23"/>
    <w:rsid w:val="0083090D"/>
    <w:rsid w:val="00852E12"/>
    <w:rsid w:val="008900CB"/>
    <w:rsid w:val="008C08CD"/>
    <w:rsid w:val="009260EB"/>
    <w:rsid w:val="00973355"/>
    <w:rsid w:val="009F53FF"/>
    <w:rsid w:val="00A13066"/>
    <w:rsid w:val="00A22B2A"/>
    <w:rsid w:val="00A23487"/>
    <w:rsid w:val="00A37FE6"/>
    <w:rsid w:val="00A42E46"/>
    <w:rsid w:val="00AD0A82"/>
    <w:rsid w:val="00AD1596"/>
    <w:rsid w:val="00B54309"/>
    <w:rsid w:val="00B741E7"/>
    <w:rsid w:val="00B84FB0"/>
    <w:rsid w:val="00BB7049"/>
    <w:rsid w:val="00BC3701"/>
    <w:rsid w:val="00BF0881"/>
    <w:rsid w:val="00C24A45"/>
    <w:rsid w:val="00C30F69"/>
    <w:rsid w:val="00C41D0D"/>
    <w:rsid w:val="00C46152"/>
    <w:rsid w:val="00CA0C88"/>
    <w:rsid w:val="00CA339F"/>
    <w:rsid w:val="00CB5E0E"/>
    <w:rsid w:val="00CD0C6B"/>
    <w:rsid w:val="00CE5B1B"/>
    <w:rsid w:val="00D04E87"/>
    <w:rsid w:val="00D30346"/>
    <w:rsid w:val="00D474BE"/>
    <w:rsid w:val="00D825B7"/>
    <w:rsid w:val="00DF5814"/>
    <w:rsid w:val="00E00EDA"/>
    <w:rsid w:val="00E4477B"/>
    <w:rsid w:val="00E80865"/>
    <w:rsid w:val="00EB5C0A"/>
    <w:rsid w:val="00ED717F"/>
    <w:rsid w:val="00EF3C29"/>
    <w:rsid w:val="00F7729C"/>
    <w:rsid w:val="00F85CC0"/>
    <w:rsid w:val="00F93A78"/>
    <w:rsid w:val="01064770"/>
    <w:rsid w:val="04453648"/>
    <w:rsid w:val="09BB2134"/>
    <w:rsid w:val="13DA4090"/>
    <w:rsid w:val="15492582"/>
    <w:rsid w:val="1BB26345"/>
    <w:rsid w:val="1E7D3B34"/>
    <w:rsid w:val="209C4FF0"/>
    <w:rsid w:val="258F34D6"/>
    <w:rsid w:val="2BA4769A"/>
    <w:rsid w:val="2CD06EF4"/>
    <w:rsid w:val="31EB169C"/>
    <w:rsid w:val="32EF40CE"/>
    <w:rsid w:val="35580774"/>
    <w:rsid w:val="372974AC"/>
    <w:rsid w:val="3CE47224"/>
    <w:rsid w:val="3F3C61FB"/>
    <w:rsid w:val="42271DDB"/>
    <w:rsid w:val="48036E61"/>
    <w:rsid w:val="48B52937"/>
    <w:rsid w:val="48EE3EF3"/>
    <w:rsid w:val="4C1E2F28"/>
    <w:rsid w:val="508E207B"/>
    <w:rsid w:val="51AD42DE"/>
    <w:rsid w:val="53E9756D"/>
    <w:rsid w:val="5651051D"/>
    <w:rsid w:val="57BB5F84"/>
    <w:rsid w:val="57E961A8"/>
    <w:rsid w:val="581E77CF"/>
    <w:rsid w:val="58B06254"/>
    <w:rsid w:val="59E3092F"/>
    <w:rsid w:val="5AF25131"/>
    <w:rsid w:val="5DD21A28"/>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68A4F-4D55-4DAA-9161-75C0574C8A9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661</Words>
  <Characters>3770</Characters>
  <Lines>31</Lines>
  <Paragraphs>8</Paragraphs>
  <TotalTime>2</TotalTime>
  <ScaleCrop>false</ScaleCrop>
  <LinksUpToDate>false</LinksUpToDate>
  <CharactersWithSpaces>4423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2018-09-30T01:09:00Z</cp:lastPrinted>
  <dcterms:modified xsi:type="dcterms:W3CDTF">2019-02-13T02:34:15Z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